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EStSchlEV 2021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Auf Grund des § 3 Absatz 3 in Verbindung mit Absatz 1 des Gemeindefinanzreformgesetzes, von dem Absatz 1 zuletzt durch Artikel 1 des Gesetzes vom 8. Mai 2012 (BGBl. I S. 1030)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EStSchlEV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