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EStSchlEV 2021</w:t>
      </w:r>
    </w:p>
    <w:p>
      <w:r>
        <w:rPr>
          <w:color w:val="555555"/>
          <w:sz w:val="18"/>
        </w:rPr>
        <w:t xml:space="preserve">Einkommensteuerschlüsselzahlenermittlungsverordnung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(1) Diese Verordnung tritt am 1. Januar 2021 in Kraft.</w:t>
      </w:r>
    </w:p>
    <w:p>
      <w:r>
        <w:t xml:space="preserve">(2) Diese Verordnung tritt mit Ablauf des 31. Dezember 2023 außer Kraft.</w:t>
      </w:r>
    </w:p>
    <w:p>
      <w:r>
        <w:rPr>
          <w:color w:val="555555"/>
          <w:sz w:val="17"/>
        </w:rPr>
        <w:t xml:space="preserve">Zitiervorschlag: § 5 EStSchlEV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https://recht.nulegal.eu/gesetze/EStSchlEV%202021/5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EStSchlEV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