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EStSchlEV 2021</w:t>
      </w:r>
    </w:p>
    <w:p>
      <w:r>
        <w:rPr>
          <w:color w:val="555555"/>
          <w:sz w:val="18"/>
        </w:rPr>
        <w:t xml:space="preserve">Einkommensteuerschlüsselzahlenermittlungsverordnung</w:t>
      </w:r>
    </w:p>
    <w:p>
      <w:r>
        <w:rPr>
          <w:color w:val="555555"/>
          <w:sz w:val="18"/>
        </w:rPr>
        <w:t xml:space="preserve">Historische Fassung: Stand 01.01.2021 bis 01.01.2024. Dies ist nicht die aktuelle Fassung.</w:t>
      </w:r>
    </w:p>
    <w:p>
      <w:r>
        <w:t xml:space="preserve">Die Schlüsselzahlen sind auf acht Stellen nach dem Komma zu berechnen und auf die siebte Stelle nach dem Komma zu runden.</w:t>
      </w:r>
    </w:p>
    <w:p>
      <w:r>
        <w:rPr>
          <w:color w:val="555555"/>
          <w:sz w:val="17"/>
        </w:rPr>
        <w:t xml:space="preserve">Zitiervorschlag: § 3 EStSchlEV 2021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https://recht.nulegal.eu/gesetze/EStSchlEV%202021/3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