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EStSchlEV 2021</w:t>
      </w:r>
    </w:p>
    <w:p>
      <w:r>
        <w:rPr>
          <w:color w:val="555555"/>
          <w:sz w:val="18"/>
        </w:rPr>
        <w:t xml:space="preserve">Einkommensteuerschlüsselzahlenermittlungsverordnung</w:t>
      </w:r>
    </w:p>
    <w:p>
      <w:r>
        <w:rPr>
          <w:color w:val="555555"/>
          <w:sz w:val="18"/>
        </w:rPr>
        <w:t xml:space="preserve">Historische Fassung: Stand 01.01.2021 bis 01.01.2024. Dies ist nicht die aktuelle Fassung.</w:t>
      </w:r>
    </w:p>
    <w:p>
      <w:r>
        <w:t xml:space="preserve">(1) Für die Zurechnung der Steuerbeträge an die Gemeinden ist der Wohnsitz der steuerpflichtigen Person zum Zeitpunkt der Abgabe der Einkommensteuererklärung 2016 oder zum Zeitpunkt der Erstveranlagung maßgebend. Bei mehreren Wohnsitzen ist der Hauptwohnsitz maßgebend. Hat die steuerpflichtige Person keinen Wohnsitz, so ist der gewöhnliche Aufenthalt maßgebend. In Fällen, in denen von Arbeitnehmern oder Arbeitnehmerinnen keine Einkommensteuererklärung abgegeben wird, gilt als Wohnsitzgemeinde die nach § 7 Absatz 2 des Zerlegungsgesetzes festgestellte Gemeinde.</w:t>
      </w:r>
    </w:p>
    <w:p>
      <w:r>
        <w:t xml:space="preserve">(2) Personell veranlagte Einkommensteuerfälle gehen nicht in die Ermittlung der Schlüsselzahlen ein. Bei den nichtveranlagten Arbeitnehmerfällen mit Lohnsteuerabzug geht der Kinderfreibetrag nicht in die Ermittlung der Schlüsselzahlen ein.</w:t>
      </w:r>
    </w:p>
    <w:p>
      <w:r>
        <w:rPr>
          <w:color w:val="555555"/>
          <w:sz w:val="17"/>
        </w:rPr>
        <w:t xml:space="preserve">Zitiervorschlag: § 2 EStSchlEV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