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EStRGEG — Übergangsregelung bei Außerkrafttreten zwischenstaatlicher Abkommen</w:t>
      </w:r>
    </w:p>
    <w:p>
      <w:r>
        <w:rPr>
          <w:color w:val="555555"/>
          <w:sz w:val="18"/>
        </w:rPr>
        <w:t xml:space="preserve">Einführungsgesetz zum Einkommensteuerreformgesetz</w:t>
      </w:r>
    </w:p>
    <w:p>
      <w:r>
        <w:rPr>
          <w:color w:val="555555"/>
          <w:sz w:val="18"/>
        </w:rPr>
        <w:t xml:space="preserve">Stand: 10.06.2019 (konsolidierte Textfassung, kein amtliches Inkrafttretensdatum)</w:t>
      </w:r>
    </w:p>
    <w:p>
      <w:r>
        <w:t xml:space="preserve">(1) Kindergeld, das auf Grund von Abkommen der Bundesrepublik Deutschland mit Griechenland, Jugoslawien, Portugal, Spanien und der Türkei geleistet wird, beträgt monatlich</w:t>
      </w:r>
    </w:p>
    <w:p>
      <w:r>
        <w:rPr>
          <w:rFonts w:ascii="Courier New" w:hAnsi="Courier New"/>
          <w:sz w:val="17"/>
        </w:rPr>
        <w:t xml:space="preserve">    für das erste Kind    10 Deutsche Mark,</w:t>
      </w:r>
    </w:p>
    <w:p>
      <w:r>
        <w:rPr>
          <w:rFonts w:ascii="Courier New" w:hAnsi="Courier New"/>
          <w:sz w:val="17"/>
        </w:rPr>
        <w:t xml:space="preserve">    für das zweite Kind    25 Deutsche Mark,</w:t>
      </w:r>
    </w:p>
    <w:p>
      <w:r>
        <w:rPr>
          <w:rFonts w:ascii="Courier New" w:hAnsi="Courier New"/>
          <w:sz w:val="17"/>
        </w:rPr>
        <w:t xml:space="preserve">    für das dritte und vierte Kind je    60 Deutsche Mark,</w:t>
      </w:r>
    </w:p>
    <w:p>
      <w:r>
        <w:rPr>
          <w:rFonts w:ascii="Courier New" w:hAnsi="Courier New"/>
          <w:sz w:val="17"/>
        </w:rPr>
        <w:t xml:space="preserve">    für jedes weitere Kind    70 Deutsche Mark.</w:t>
      </w:r>
    </w:p>
    <w:p>
      <w:r>
        <w:t xml:space="preserve">(2) Das Bundesministerium für Arbeit und Soziales wird ermächtigt, im Einvernehmen mit dem Bundesministerium für Familie, Senioren, Frauen und Jugend und dem Bundesministerium der Finanzen ohne Zustimmung des Bundesrates durch Rechtsverordnung zu bestimmen, daß Vorschriften über die Gewährung von Kindergeld, die in einem zwischenstaatlichen Abkommen über Soziale Sicherheit enthalten sind, weiterhin anwendbar bleiben, wenn sie durch Kündigung des Abkommens außer Kraft getreten sind. Die Höhe des Kindergeldes beträgt monatlich</w:t>
      </w:r>
    </w:p>
    <w:p>
      <w:r>
        <w:rPr>
          <w:rFonts w:ascii="Courier New" w:hAnsi="Courier New"/>
          <w:sz w:val="17"/>
        </w:rPr>
        <w:t xml:space="preserve">    für das zweite Kind    25 Deutsche Mark,</w:t>
      </w:r>
    </w:p>
    <w:p>
      <w:r>
        <w:rPr>
          <w:rFonts w:ascii="Courier New" w:hAnsi="Courier New"/>
          <w:sz w:val="17"/>
        </w:rPr>
        <w:t xml:space="preserve">    für das dritte und vierte Kind je    60 Deutsche Mark,</w:t>
      </w:r>
    </w:p>
    <w:p>
      <w:r>
        <w:rPr>
          <w:rFonts w:ascii="Courier New" w:hAnsi="Courier New"/>
          <w:sz w:val="17"/>
        </w:rPr>
        <w:t xml:space="preserve">    für jedes weitere Kind    70 Deutsche Mark.</w:t>
      </w:r>
    </w:p>
    <w:p>
      <w:r>
        <w:t xml:space="preserve">Soweit dies mit Rücksicht auf die durchschnittlichen Lebenshaltungskosten für Kinder in deren Wohnland und auf die dort gewährten, dem Kindergeld vergleichbaren Leistungen geboten ist, kann Kindergeld auch für das erste Kind bis zu einer Höhe von 10 Deutsche Mark monatlich gezahlt werden.</w:t>
      </w:r>
    </w:p>
    <w:p>
      <w:r>
        <w:rPr>
          <w:color w:val="555555"/>
          <w:sz w:val="17"/>
        </w:rPr>
        <w:t xml:space="preserve">Zitiervorschlag: Art 46 EStRGEG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https://recht.nulegal.eu/gesetze/EStRGEG/46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