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EStRGEG — Überleitungsvorschrift zum Lastenausgleichsgesetz</w:t>
      </w:r>
    </w:p>
    <w:p>
      <w:r>
        <w:rPr>
          <w:color w:val="555555"/>
          <w:sz w:val="18"/>
        </w:rPr>
        <w:t xml:space="preserve">Einführungsgesetz zum Einkommensteuerreformgesetz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und solange der Gesamtbetrag der in der Unterhaltshilfe enthaltenen Zuschläge für Kinder und der nach § 267 Abs. 2 Nr. 5 des Lastenausgleichsgesetzes nicht als Einkünfte geltenden Zulagen abzüglich der auf die Unterhaltshilfe angerechneten Zulagen für Kinder und Rentenleistungen, die Vollwaisen oder Kinder beziehen, infolge der Änderung des § 267 Abs. 2 Nr. 5 des Lastenausgleichsgesetzes durch Artikel 14 Nr. 2 hinter dem entsprechenden Betrag für den Monat Dezember 1974 zurückbleibt, wird der Unterschiedsbetrag als Ausgleichszulage gewährt.</w:t>
      </w:r>
    </w:p>
    <w:p>
      <w:r>
        <w:rPr>
          <w:color w:val="555555"/>
          <w:sz w:val="17"/>
        </w:rPr>
        <w:t xml:space="preserve">Zitiervorschlag: Art 41 EStRGEG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https://recht.nulegal.eu/gesetze/EStRGEG/41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