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EStG — (zu § 4d Absatz 1) Tabelle für die Errechnung des Deckungskapitals für lebenslänglich laufende Leistungen von Unterstützungskassen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3530)</w:t>
      </w:r>
    </w:p>
    <w:p>
      <w:r>
        <w:rPr>
          <w:rFonts w:ascii="Courier New" w:hAnsi="Courier New"/>
          <w:sz w:val="17"/>
        </w:rPr>
        <w:t xml:space="preserve">Erreichtes Alter des Leistungs- empfängers (Jahre)    Die Jahresbeiträge der laufenden Leistungen sind zu vervielfachen bei Leistungen</w:t>
      </w:r>
    </w:p>
    <w:p>
      <w:r>
        <w:rPr>
          <w:rFonts w:ascii="Courier New" w:hAnsi="Courier New"/>
          <w:sz w:val="17"/>
        </w:rPr>
        <w:t xml:space="preserve">an männliche Leistungs- empfänger mit    an weibliche Leistungs- empfänger mit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bis    26    11    17</w:t>
      </w:r>
    </w:p>
    <w:p>
      <w:r>
        <w:rPr>
          <w:rFonts w:ascii="Courier New" w:hAnsi="Courier New"/>
          <w:sz w:val="17"/>
        </w:rPr>
        <w:t xml:space="preserve">    27 bis 29    12    17</w:t>
      </w:r>
    </w:p>
    <w:p>
      <w:r>
        <w:rPr>
          <w:rFonts w:ascii="Courier New" w:hAnsi="Courier New"/>
          <w:sz w:val="17"/>
        </w:rPr>
        <w:t xml:space="preserve">    30    13    17</w:t>
      </w:r>
    </w:p>
    <w:p>
      <w:r>
        <w:rPr>
          <w:rFonts w:ascii="Courier New" w:hAnsi="Courier New"/>
          <w:sz w:val="17"/>
        </w:rPr>
        <w:t xml:space="preserve">    31 bis 35    13    16</w:t>
      </w:r>
    </w:p>
    <w:p>
      <w:r>
        <w:rPr>
          <w:rFonts w:ascii="Courier New" w:hAnsi="Courier New"/>
          <w:sz w:val="17"/>
        </w:rPr>
        <w:t xml:space="preserve">    36 bis 39    14    16</w:t>
      </w:r>
    </w:p>
    <w:p>
      <w:r>
        <w:rPr>
          <w:rFonts w:ascii="Courier New" w:hAnsi="Courier New"/>
          <w:sz w:val="17"/>
        </w:rPr>
        <w:t xml:space="preserve">    40 bis 46    14    15</w:t>
      </w:r>
    </w:p>
    <w:p>
      <w:r>
        <w:rPr>
          <w:rFonts w:ascii="Courier New" w:hAnsi="Courier New"/>
          <w:sz w:val="17"/>
        </w:rPr>
        <w:t xml:space="preserve">    47 und 48    14    14</w:t>
      </w:r>
    </w:p>
    <w:p>
      <w:r>
        <w:rPr>
          <w:rFonts w:ascii="Courier New" w:hAnsi="Courier New"/>
          <w:sz w:val="17"/>
        </w:rPr>
        <w:t xml:space="preserve">    49 bis 52    13    14</w:t>
      </w:r>
    </w:p>
    <w:p>
      <w:r>
        <w:rPr>
          <w:rFonts w:ascii="Courier New" w:hAnsi="Courier New"/>
          <w:sz w:val="17"/>
        </w:rPr>
        <w:t xml:space="preserve">    53 bis 56    13    13</w:t>
      </w:r>
    </w:p>
    <w:p>
      <w:r>
        <w:rPr>
          <w:rFonts w:ascii="Courier New" w:hAnsi="Courier New"/>
          <w:sz w:val="17"/>
        </w:rPr>
        <w:t xml:space="preserve">    57 und 58    13    12</w:t>
      </w:r>
    </w:p>
    <w:p>
      <w:r>
        <w:rPr>
          <w:rFonts w:ascii="Courier New" w:hAnsi="Courier New"/>
          <w:sz w:val="17"/>
        </w:rPr>
        <w:t xml:space="preserve">    59 und 60    12    12</w:t>
      </w:r>
    </w:p>
    <w:p>
      <w:r>
        <w:rPr>
          <w:rFonts w:ascii="Courier New" w:hAnsi="Courier New"/>
          <w:sz w:val="17"/>
        </w:rPr>
        <w:t xml:space="preserve">    61 bis 63    12    11</w:t>
      </w:r>
    </w:p>
    <w:p>
      <w:r>
        <w:rPr>
          <w:rFonts w:ascii="Courier New" w:hAnsi="Courier New"/>
          <w:sz w:val="17"/>
        </w:rPr>
        <w:t xml:space="preserve">    64    11    11</w:t>
      </w:r>
    </w:p>
    <w:p>
      <w:r>
        <w:rPr>
          <w:rFonts w:ascii="Courier New" w:hAnsi="Courier New"/>
          <w:sz w:val="17"/>
        </w:rPr>
        <w:t xml:space="preserve">    65 bis 67    11    10</w:t>
      </w:r>
    </w:p>
    <w:p>
      <w:r>
        <w:rPr>
          <w:rFonts w:ascii="Courier New" w:hAnsi="Courier New"/>
          <w:sz w:val="17"/>
        </w:rPr>
        <w:t xml:space="preserve">    68 bis 71    10    9</w:t>
      </w:r>
    </w:p>
    <w:p>
      <w:r>
        <w:rPr>
          <w:rFonts w:ascii="Courier New" w:hAnsi="Courier New"/>
          <w:sz w:val="17"/>
        </w:rPr>
        <w:t xml:space="preserve">    72 bis 74    9    8</w:t>
      </w:r>
    </w:p>
    <w:p>
      <w:r>
        <w:rPr>
          <w:rFonts w:ascii="Courier New" w:hAnsi="Courier New"/>
          <w:sz w:val="17"/>
        </w:rPr>
        <w:t xml:space="preserve">    75 bis 77    8    7</w:t>
      </w:r>
    </w:p>
    <w:p>
      <w:r>
        <w:rPr>
          <w:rFonts w:ascii="Courier New" w:hAnsi="Courier New"/>
          <w:sz w:val="17"/>
        </w:rPr>
        <w:t xml:space="preserve">    78    8    6</w:t>
      </w:r>
    </w:p>
    <w:p>
      <w:r>
        <w:rPr>
          <w:rFonts w:ascii="Courier New" w:hAnsi="Courier New"/>
          <w:sz w:val="17"/>
        </w:rPr>
        <w:t xml:space="preserve">    79 bis 81    7    6</w:t>
      </w:r>
    </w:p>
    <w:p>
      <w:r>
        <w:rPr>
          <w:rFonts w:ascii="Courier New" w:hAnsi="Courier New"/>
          <w:sz w:val="17"/>
        </w:rPr>
        <w:t xml:space="preserve">    82 bis 84    6    5</w:t>
      </w:r>
    </w:p>
    <w:p>
      <w:r>
        <w:rPr>
          <w:rFonts w:ascii="Courier New" w:hAnsi="Courier New"/>
          <w:sz w:val="17"/>
        </w:rPr>
        <w:t xml:space="preserve">    85 bis 87    5    4</w:t>
      </w:r>
    </w:p>
    <w:p>
      <w:r>
        <w:rPr>
          <w:rFonts w:ascii="Courier New" w:hAnsi="Courier New"/>
          <w:sz w:val="17"/>
        </w:rPr>
        <w:t xml:space="preserve">    88    4    4</w:t>
      </w:r>
    </w:p>
    <w:p>
      <w:r>
        <w:rPr>
          <w:rFonts w:ascii="Courier New" w:hAnsi="Courier New"/>
          <w:sz w:val="17"/>
        </w:rPr>
        <w:t xml:space="preserve">    89 und 90    4    3</w:t>
      </w:r>
    </w:p>
    <w:p>
      <w:r>
        <w:rPr>
          <w:rFonts w:ascii="Courier New" w:hAnsi="Courier New"/>
          <w:sz w:val="17"/>
        </w:rPr>
        <w:t xml:space="preserve">    91 bis 93    3    3</w:t>
      </w:r>
    </w:p>
    <w:p>
      <w:r>
        <w:rPr>
          <w:rFonts w:ascii="Courier New" w:hAnsi="Courier New"/>
          <w:sz w:val="17"/>
        </w:rPr>
        <w:t xml:space="preserve">    94    3    2</w:t>
      </w:r>
    </w:p>
    <w:p>
      <w:r>
        <w:rPr>
          <w:rFonts w:ascii="Courier New" w:hAnsi="Courier New"/>
          <w:sz w:val="17"/>
        </w:rPr>
        <w:t xml:space="preserve">    95 und älter    2    2</w:t>
      </w:r>
    </w:p>
    <w:p>
      <w:r>
        <w:rPr>
          <w:color w:val="555555"/>
          <w:sz w:val="17"/>
        </w:rPr>
        <w:t xml:space="preserve">Zitiervorschlag: Anlage 1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https://recht.nulegal.eu/gesetze/EStG/anlage-1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