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9b EStG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Vorsteuerbetrag nach § 15 des Umsatzsteuergesetzes gehört, soweit er bei der Umsatzsteuer abgezogen werden kann, nicht zu den Anschaffungs- oder Herstellungskosten des Wirtschaftsguts, auf dessen Anschaffung oder Herstellung er entfällt.</w:t>
      </w:r>
    </w:p>
    <w:p>
      <w:r>
        <w:t xml:space="preserve">(2) 1Wird der Vorsteuerabzug nach § 15a des Umsatzsteuergesetzes berichtigt, so sind die Mehrbeträge als Betriebseinnahmen oder Einnahmen zu behandeln, wenn sie im Rahmen einer der Einkunftsarten des § 2 Absatz 1 Satz 1 bezogen werden; die Minderbeträge sind als Betriebsausgaben oder Werbungskosten zu behandeln, wenn sie durch den Betrieb veranlasst sind oder der Erwerbung, Sicherung und Erhaltung von Einnahmen dienen. 2Die Anschaffungs- oder Herstellungskosten bleiben in den Fällen des Satzes 1 unberührt.</w:t>
      </w:r>
    </w:p>
    <w:p>
      <w:r>
        <w:rPr>
          <w:color w:val="555555"/>
          <w:sz w:val="17"/>
        </w:rPr>
        <w:t xml:space="preserve">Zitiervorschlag: § 9b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