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EStG — Ermächtigung</w:t>
      </w:r>
    </w:p>
    <w:p>
      <w:r>
        <w:rPr>
          <w:color w:val="555555"/>
          <w:sz w:val="18"/>
        </w:rPr>
        <w:t xml:space="preserve">Einkommensteuergesetz</w:t>
      </w:r>
    </w:p>
    <w:p>
      <w:r>
        <w:rPr>
          <w:color w:val="555555"/>
          <w:sz w:val="18"/>
        </w:rPr>
        <w:t xml:space="preserve">Stand: 27.06.2020 (konsolidierte Textfassung, kein amtliches Inkrafttretensdatum)</w:t>
      </w:r>
    </w:p>
    <w:p>
      <w:r>
        <w:t xml:space="preserve">(1) Das Bundesministerium der Finanzen wird ermächtigt, die Vordrucke für die Anträge nach § 89, für die Anmeldung nach § 90 Absatz 3 und für die in den §§ 92 und 94 Absatz 1 Satz 4 vorgesehenen Bescheinigungen und im Einvernehmen mit den obersten Finanzbehörden der Länder das Muster für die nach § 22 Nummer 5 Satz 7 vorgesehene Bescheinigung und den Inhalt und Aufbau der für die Durchführung des Zulageverfahrens zu übermittelnden Datensätze zu bestimmen.</w:t>
      </w:r>
    </w:p>
    <w:p>
      <w:r>
        <w:t xml:space="preserve">(2) 1Das Bundesministerium der Finanzen wird ermächtigt, im Einvernehmen mit dem Bundesministerium für Arbeit und Soziales und dem Bundesministerium des Innern, für Bau und Heimat durch Rechtsverordnung mit Zustimmung des Bundesrates Vorschriften zur Durchführung dieses Gesetzes über das Verfahren für die Ermittlung, Festsetzung, Auszahlung, Rückzahlung und Rückforderung der Zulage sowie die Rückzahlung und Rückforderung der nach § 10a Absatz 4 festgestellten Beträge zu erlassen. 2Hierzu gehören insbesondere</w:t>
      </w:r>
    </w:p>
    <w:p>
      <w:pPr>
        <w:ind w:left="420"/>
      </w:pPr>
      <w:r>
        <w:t xml:space="preserve">1. Vorschriften über Aufzeichnungs-, Aufbewahrungs-, Bescheinigungs- und Anzeigepflichten des Anbieters,</w:t>
      </w:r>
    </w:p>
    <w:p>
      <w:pPr>
        <w:ind w:left="420"/>
      </w:pPr>
      <w:r>
        <w:t xml:space="preserve">2. Grundsätze des vorgesehenen Datenaustausches zwischen den Anbietern, der zentralen Stelle, den Trägern der gesetzlichen Rentenversicherung, der Bundesagentur für Arbeit, den Meldebehörden, den Familienkassen, den zuständigen Stellen und den Finanzämtern und</w:t>
      </w:r>
    </w:p>
    <w:p>
      <w:pPr>
        <w:ind w:left="420"/>
      </w:pPr>
      <w:r>
        <w:t xml:space="preserve">3. Vorschriften über Mitteilungspflichten, die für die Erteilung der Bescheinigungen nach § 22 Nummer 5 Satz 7 und § 92 erforderlich sind.</w:t>
      </w:r>
    </w:p>
    <w:p>
      <w:r>
        <w:rPr>
          <w:color w:val="555555"/>
          <w:sz w:val="17"/>
        </w:rPr>
        <w:t xml:space="preserve">Zitiervorschlag: § 99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