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EStG — Schädliche Verwendung</w:t>
      </w:r>
    </w:p>
    <w:p>
      <w:r>
        <w:rPr>
          <w:color w:val="555555"/>
          <w:sz w:val="18"/>
        </w:rPr>
        <w:t xml:space="preserve">Einkommensteuergesetz</w:t>
      </w:r>
    </w:p>
    <w:p>
      <w:r>
        <w:rPr>
          <w:color w:val="555555"/>
          <w:sz w:val="18"/>
        </w:rPr>
        <w:t xml:space="preserve">Stand: 30.05.2026 (konsolidierte Textfassung, kein amtliches Inkrafttretensdatum)</w:t>
      </w:r>
    </w:p>
    <w:p>
      <w:r>
        <w:t xml:space="preserve">(1) 1Wird gefördertes Altersvorsorgevermögen nicht unter den in § 1 Absatz 1 Satz 1 Nummer 4 und 10 Buchstabe c des Altersvorsorgeverträge-Zertifizierungsgesetzes oder § 1 Absatz 1 Satz 1 Nummer 4, 5 und 10 Buchstabe c des Altersvorsorgeverträge-Zertifizierungsgesetzes in der bis zum 31. Dezember 2004 geltenden Fassung genannten Voraussetzungen an den Zulageberechtigten ausgezahlt (schädliche Verwendung), sind die auf das ausgezahlte geförderte Altersvorsorgevermögen entfallenden Zulagen und die nach § 10a Absatz 4 gesondert festgestellten Beträge (Rückzahlungsbetrag) zurückzuzahlen. 2Dies gilt auch bei einer Auszahlung nach Beginn der Auszahlungsphase (§ 1 Absatz 1 Satz 1 Nummer 2 des Altersvorsorgeverträge-Zertifizierungsgesetzes) und bei Auszahlungen im Fall des Todes des Zulageberechtigten. 3Hat der Zulageberechtigte Zahlungen im Sinne des § 92a Absatz 2 Satz 4 Nummer 1 oder § 92a Absatz 3 Satz 9 Nummer 2 geleistet, dann handelt es sich bei dem hierauf beruhenden Altersvorsorgevermögen um gefördertes Altersvorsorgevermögen im Sinne des Satzes 1; der Rückzahlungsbetrag bestimmt sich insoweit nach der für die in das Wohnförderkonto eingestellten Beträge gewährten Förderung. 4Eine Rückzahlungsverpflichtung besteht nicht für den Teil der Zulagen und der Steuerermäßigung,</w:t>
      </w:r>
    </w:p>
    <w:p>
      <w:pPr>
        <w:ind w:left="420"/>
      </w:pPr>
      <w:r>
        <w:t xml:space="preserve">a) der auf nach § 1 Absatz 1 Satz 1 Nummer 2 des Altersvorsorgeverträge-Zertifizierungsgesetzes angespartes gefördertes Altersvorsorgevermögen entfällt, wenn es in Form einer Hinterbliebenenrente an die dort genannten Hinterbliebenen ausgezahlt wird; dies gilt auch für Leistungen im Sinne des § 82 Absatz 3 an Hinterbliebene des Steuerpflichtigen;</w:t>
      </w:r>
    </w:p>
    <w:p>
      <w:pPr>
        <w:ind w:left="420"/>
      </w:pPr>
      <w:r>
        <w:t xml:space="preserve">b) der den Beitragsanteilen zuzuordnen ist, die für die zusätzliche Absicherung der verminderten Erwerbsfähigkeit und eine zusätzliche Hinterbliebenenabsicherung ohne Kapitalbildung verwendet worden sind;</w:t>
      </w:r>
    </w:p>
    <w:p>
      <w:pPr>
        <w:ind w:left="420"/>
      </w:pPr>
      <w:r>
        <w:t xml:space="preserve">c) der auf gefördertes Altersvorsorgevermögen entfällt, das im Fall des Todes des Zulageberechtigten auf einen auf den Namen des Ehegatten lautenden Altersvorsorgevertrag übertragen wird, wenn die Ehegatten im Zeitpunkt des Todes des Zulageberechtigten nicht dauernd getrennt gelebt haben (§ 26 Absatz 1) und ihren Wohnsitz oder gewöhnlichen Aufenthalt in einem Mitgliedstaat der Europäischen Union oder einem Staat hatten, auf den das Abkommen über den Europäischen Wirtschaftsraum (EWR-Abkommen) anwendbar ist; dies gilt auch, wenn die Ehegatten ihren vor dem Zeitpunkt, ab dem das Vereinigte Königreich Großbritannien und Nordirland nicht mehr Mitgliedstaat der Europäischen Union ist und auch nicht wie ein solcher zu behandeln ist, begründeten Wohnsitz oder gewöhnlichen Aufenthalt im Vereinigten Königreich Großbritannien und Nordirland hatten und der Vertrag vor dem 23. Juni 2016 abgeschlossen worden ist;</w:t>
      </w:r>
    </w:p>
    <w:p>
      <w:pPr>
        <w:ind w:left="420"/>
      </w:pPr>
      <w:r>
        <w:t xml:space="preserve">d) der auf den Altersvorsorge-Eigenheimbetrag entfällt.</w:t>
      </w:r>
    </w:p>
    <w:p>
      <w:r>
        <w:t xml:space="preserve">(1a) 1Eine schädliche Verwendung liegt nicht vor, wenn gefördertes Altersvorsorgevermögen auf Grund einer internen Teilung nach § 10 des Versorgungsausgleichsgesetzes oder auf Grund einer externen Teilung nach § 14 des Versorgungsausgleichsgesetzes auf einen zertifizierten Altersvorsorgevertrag oder eine nach § 82 Absatz 2 begünstigte betriebliche Altersversorgung übertragen wird; die auf das übertragene Anrecht entfallende steuerliche Förderung geht mit allen Rechten und Pflichten auf die ausgleichsberechtigte Person über. 2Eine schädliche Verwendung liegt ebenfalls nicht vor, wenn gefördertes Altersvorsorgevermögen auf Grund einer externen Teilung nach § 14 des Versorgungsausgleichsgesetzes auf die Versorgungsausgleichskasse oder die gesetzliche Rentenversicherung übertragen wird; die Rechte und Pflichten der ausgleichspflichtigen Person aus der steuerlichen Förderung des übertragenen Anteils entfallen. 3In den Fällen der Sätze 1 und 2 teilt die zentrale Stelle der ausgleichspflichtigen Person die Höhe der auf die Ehezeit im Sinne des § 3 Absatz 1 des Versorgungsausgleichsgesetzes oder die Lebenspartnerschaftszeit im Sinne des § 20 Absatz 2 des Lebenspartnerschaftsgesetzes entfallenden gesondert festgestellten Beträge nach § 10a Absatz 4 und die ermittelten Zulagen mit. 4Die entsprechenden Beträge sind monatsweise zuzuordnen. 5Die zentrale Stelle teilt die geänderte Zuordnung der gesondert festgestellten Beträge nach § 10a Absatz 4 sowie der ermittelten Zulagen der ausgleichspflichtigen und in den Fällen des Satzes 1 auch der ausgleichsberechtigten Person durch Feststellungsbescheid mit. 6Nach Eintritt der Unanfechtbarkeit dieses Feststellungsbescheids informiert die zentrale Stelle den Anbieter durch einen Datensatz über die geänderte Zuordnung.</w:t>
      </w:r>
    </w:p>
    <w:p>
      <w:r>
        <w:t xml:space="preserve">(2) 1Die Übertragung von gefördertem Altersvorsorgevermögen auf einen anderen auf den Namen des Zulageberechtigten lautenden Altersvorsorgevertrag (§ 1 Absatz 1 Satz 1 Nummer 10 Buchstabe b des Altersvorsorgeverträge-Zertifizierungsgesetzes) stellt keine schädliche Verwendung dar. 2Dies gilt sinngemäß in den Fällen des § 4 Absatz 2 und 3 des Betriebsrentengesetzes, wenn das geförderte Altersvorsorgevermögen auf eine der in § 82 Absatz 2 Buchstabe a genannten Einrichtungen der betrieblichen Altersversorgung zum Aufbau einer kapitalgedeckten betrieblichen Altersversorgung übertragen und eine lebenslange Altersversorgung entsprechend § 82 Absatz 2 Satz 2 vorgesehen ist, wie auch in den Fällen einer Übertragung nach § 3 Nummer 55c Satz 2 Buchstabe a. 3In den übrigen Fällen der Abfindung von Anwartschaften der betrieblichen Altersversorgung gilt dies, soweit das geförderte Altersvorsorgevermögen zugunsten eines auf den Namen des Zulageberechtigten lautenden Altersvorsorgevertrages geleistet wird. 4Auch keine schädliche Verwendung sind der gesetzliche Forderungs- und Vermögensübergang nach § 9 des Betriebsrentengesetzes und die gesetzlich vorgesehene schuldbefreiende Übertragung nach § 8 Absatz 1 des Betriebsrentengesetzes.</w:t>
      </w:r>
    </w:p>
    <w:p>
      <w:r>
        <w:t xml:space="preserve">(3) 1Auszahlungen zur Abfindung einer Kleinbetragsrente zu Beginn der Auszahlungsphase gelten nicht als schädliche Verwendung. 2Eine Kleinbetragsrente ist</w:t>
      </w:r>
    </w:p>
    <w:p>
      <w:pPr>
        <w:ind w:left="420"/>
      </w:pPr>
      <w:r>
        <w:t xml:space="preserve">1. eine Rente, die bei gleichmäßiger Verrentung des gesamten zu Beginn der Auszahlungsphase zur Verfügung stehenden Kapitals eine monatliche Rente ergibt, die 1,5 Prozent der monatlichen Bezugsgröße nach § 18 des Vierten Buches Sozialgesetzbuch nicht übersteigt, oder</w:t>
      </w:r>
    </w:p>
    <w:p>
      <w:pPr>
        <w:ind w:left="420"/>
      </w:pPr>
      <w:r>
        <w:t xml:space="preserve">2. eine monatliche Leistung ab dem 1. Januar 2027, die bei einer gleichmäßigen Verteilung des gesamten zu Beginn der Auszahlungsphase zur Verfügung stehenden Kapitals im Rahmen eines Auszahlungsplans nach § 1 Absatz 1 Satz 1 Nummer 4 Buchstabe b des Altersvorsorgeverträge-Zertifizierungsgesetzes 1,5 Prozent der monatlichen Bezugsgröße nach § 18 des Vierten Buches Sozialgesetzbuch nicht übersteigt.</w:t>
      </w:r>
    </w:p>
    <w:p>
      <w:r>
        <w:t xml:space="preserve">3Bei der Berechnung dieses Betrags sind alle bei einem Anbieter bestehenden Verträge des Zulageberechtigten insgesamt zu berücksichtigen, auf die nach diesem Abschnitt geförderte Altersvorsorgebeiträge geleistet wurden. 4Die Sätze 1 bis 3 gelten entsprechend, wenn</w:t>
      </w:r>
    </w:p>
    <w:p>
      <w:pPr>
        <w:ind w:left="420"/>
      </w:pPr>
      <w:r>
        <w:t xml:space="preserve">1. nach dem Beginn der Auszahlungsphase ein Versorgungsausgleich durchgeführt wird und</w:t>
      </w:r>
    </w:p>
    <w:p>
      <w:pPr>
        <w:ind w:left="420"/>
      </w:pPr>
      <w:r>
        <w:t xml:space="preserve">2. sich dadurch die Rente verringert.</w:t>
      </w:r>
    </w:p>
    <w:p>
      <w:r>
        <w:t xml:space="preserve">(4) 1Wird bei einem einheitlichen Vertrag nach § 1 Absatz 1a Satz 1 Nummer 2 zweiter Halbsatz des Altersvorsorgeverträge-Zertifizierungsgesetzes das Darlehen nicht wohnungswirtschaftlich im Sinne des § 92a Absatz 1 Satz 1 verwendet, liegt zum Zeitpunkt der Darlehensauszahlung eine schädliche Verwendung des geförderten Altersvorsorgevermögens vor, es sei denn, das geförderte Altersvorsorgevermögen wird innerhalb eines Jahres nach Ablauf des Veranlagungszeitraums, in dem das Darlehen ausgezahlt wurde, auf einen anderen zertifizierten Altersvorsorgevertrag übertragen, der auf den Namen des Zulageberechtigten lautet. 2Der Zulageberechtigte hat dem Anbieter die Absicht zur Kapitalübertragung, den Zeitpunkt der Kapitalübertragung bis zum Zeitpunkt der Darlehensauszahlung und die Aufgabe der Absicht zur Kapitalübertragung mitzuteilen. 3Wird die Absicht zur Kapitalübertragung aufgegeben, tritt die schädliche Verwendung zu dem Zeitpunkt ein, zu dem die Mitteilung des Zulageberechtigten hierzu beim Anbieter eingeht, spätestens aber am 1. Januar des zweiten Jahres nach dem Jahr, in dem das Darlehen ausgezahlt wurde.</w:t>
      </w:r>
    </w:p>
    <w:p>
      <w:r>
        <w:rPr>
          <w:color w:val="555555"/>
          <w:sz w:val="17"/>
        </w:rPr>
        <w:t xml:space="preserve">Zitiervorschlag: § 93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