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85 EStG — Kinderzulage</w:t>
      </w:r>
    </w:p>
    <w:p>
      <w:r>
        <w:rPr>
          <w:color w:val="555555"/>
          <w:sz w:val="18"/>
        </w:rPr>
        <w:t xml:space="preserve">Einkommensteuergesetz</w:t>
      </w:r>
    </w:p>
    <w:p>
      <w:r>
        <w:rPr>
          <w:color w:val="555555"/>
          <w:sz w:val="18"/>
        </w:rPr>
        <w:t xml:space="preserve">Stand: 10.06.2019 (konsolidierte Textfassung, kein amtliches Inkrafttretensdatum)</w:t>
      </w:r>
    </w:p>
    <w:p>
      <w:r>
        <w:t xml:space="preserve">(1) 1Die Kinderzulage beträgt für jedes Kind, für das gegenüber dem Zulageberechtigten Kindergeld festgesetzt wird, jährlich 185 Euro. 2Für ein nach dem 31. Dezember 2007 geborenes Kind erhöht sich die Kinderzulage nach Satz 1 auf 300 Euro. 3Der Anspruch auf Kinderzulage entfällt für den Veranlagungszeitraum, für den das Kindergeld insgesamt zurückgefordert wird. 4Erhalten mehrere Zulageberechtigte für dasselbe Kind Kindergeld, steht die Kinderzulage demjenigen zu, dem gegenüber für den ersten Anspruchszeitraum (§ 66 Absatz 2) im Kalenderjahr Kindergeld festgesetzt worden ist.</w:t>
      </w:r>
    </w:p>
    <w:p>
      <w:r>
        <w:t xml:space="preserve">(2) 1Bei Eltern verschiedenen Geschlechts, die miteinander verheiratet sind, nicht dauernd getrennt leben (§ 26 Absatz 1) und ihren Wohnsitz oder gewöhnlichen Aufenthalt in einem Mitgliedstaat der Europäischen Union oder einem Staat haben, auf den das Abkommen über den Europäischen Wirtschaftsraum (EWR-Abkommen) anwendbar ist, wird die Kinderzulage der Mutter zugeordnet, auf Antrag beider Eltern dem Vater. 2Bei Eltern gleichen Geschlechts, die miteinander verheiratet sind oder eine Lebenspartnerschaft führen, nicht dauernd getrennt leben (§ 26 Absatz 1) und ihren Wohnsitz oder gewöhnlichen Aufenthalt in einem Mitgliedstaat der Europäischen Union oder einem Staat haben, auf den das EWR-Abkommen anwendbar ist, ist die Kinderzulage dem Elternteil zuzuordnen, dem gegenüber das Kindergeld festgesetzt wird, auf Antrag beider Eltern dem anderen Elternteil. 3Der Antrag kann für ein abgelaufenes Beitragsjahr nicht zurückgenommen werden.</w:t>
      </w:r>
    </w:p>
    <w:p>
      <w:r>
        <w:rPr>
          <w:color w:val="555555"/>
          <w:sz w:val="17"/>
        </w:rPr>
        <w:t xml:space="preserve">Zitiervorschlag: § 85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https://recht.nulegal.eu/gesetze/EStG/85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