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6e EStG — Fondsetablierungskosten als Anschaffungskosten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1Zu den Anschaffungskosten von Wirtschaftsgütern, die ein Steuerpflichtiger gemeinschaftlich mit weiteren Anlegern gemäß einem von einem Projektanbieter vorformulierten Vertragswerk anschafft, gehören auch die Fondsetablierungskosten im Sinne der Absätze 2 und 3. 2Haben die Anleger in ihrer gesellschaftsrechtlichen Verbundenheit keine wesentlichen Möglichkeiten zur Einflussnahme auf das Vertragswerk, gelten die Wirtschaftsgüter im Sinne von Satz 1 als angeschafft.</w:t>
      </w:r>
    </w:p>
    <w:p>
      <w:r>
        <w:t xml:space="preserve">(2) 1Fondsetablierungskosten sind alle auf Grund des vorformulierten Vertragswerks neben den Anschaffungskosten im Sinne von § 255 des Handelsgesetzbuchs vom Anleger an den Projektanbieter oder an Dritte zu zahlenden Aufwendungen, die auf den Erwerb der Wirtschaftsgüter im Sinne des Absatzes 1 Satz 1 gerichtet sind. 2Zu den Anschaffungskosten der Anleger im Sinne des Absatzes 1 Satz 2 gehören darüber hinaus alle an den Projektanbieter oder an Dritte geleisteten Aufwendungen in wirtschaftlichem Zusammenhang mit der Abwicklung des Projekts in der Investitionsphase. 3Zu den Anschaffungskosten zählen auch die Haftungs- und Geschäftsführungsvergütungen für Komplementäre, Geschäftsführungsvergütungen bei schuldrechtlichem Leistungsaustausch und Vergütungen für Treuhandkommanditisten, soweit sie auf die Investitionsphase entfallen.</w:t>
      </w:r>
    </w:p>
    <w:p>
      <w:r>
        <w:t xml:space="preserve">(3) Absatz 1 Satz 1 und Absatz 2 sind sinngemäß in den Fällen anzuwenden, in denen Fondsetablierungskosten vergleichbare Kosten außerhalb einer gemeinschaftlichen Anschaffung zu zahlen sind.</w:t>
      </w:r>
    </w:p>
    <w:p>
      <w:r>
        <w:t xml:space="preserve">(4) Im Fall des § 4 Absatz 3 sind die Absätze 1 bis 3 entsprechend anzuwenden.</w:t>
      </w:r>
    </w:p>
    <w:p>
      <w:r>
        <w:t xml:space="preserve">(5) § 15b bleibt unberührt.</w:t>
      </w:r>
    </w:p>
    <w:p>
      <w:r>
        <w:rPr>
          <w:color w:val="555555"/>
          <w:sz w:val="17"/>
        </w:rPr>
        <w:t xml:space="preserve">Zitiervorschlag: § 6e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https://recht.nulegal.eu/gesetze/EStG/6e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