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6c EStG — Übertragung stiller Reserven bei der Veräußerung bestimmter Anlagegüter bei der Ermittlung des Gewinns nach § 4 Absatz 3 oder nach Durchschnittssätzen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1§ 6b mit Ausnahme des § 6b Absatz 4 Nummer 1 ist entsprechend anzuwenden, wenn der Gewinn nach § 4 Absatz 3 oder die Einkünfte aus Land- und Forstwirtschaft nach Durchschnittssätzen ermittelt werden. 2Soweit nach § 6b Absatz 3 eine Rücklage gebildet werden kann, ist ihre Bildung als Betriebsausgabe (Abzug) und ihre Auflösung als Betriebseinnahme (Zuschlag) zu behandeln; der Zeitraum zwischen Abzug und Zuschlag gilt als Zeitraum, in dem die Rücklage bestanden hat.</w:t>
      </w:r>
    </w:p>
    <w:p>
      <w:r>
        <w:t xml:space="preserve">(2) 1Voraussetzung für die Anwendung des Absatzes 1 ist, dass die Wirtschaftsgüter, bei denen ein Abzug von den Anschaffungs- oder Herstellungskosten oder von dem Wert nach § 6b Absatz 5 vorgenommen worden ist, in besondere, laufend zu führende Verzeichnisse aufgenommen werden. 2In den Verzeichnissen sind der Tag der Anschaffung oder Herstellung, die Anschaffungs- oder Herstellungskosten, der Abzug nach § 6b Absatz 1 und 3 in Verbindung mit Absatz 1, die Absetzungen für Abnutzung, die Abschreibungen sowie die Beträge nachzuweisen, die nach § 6b Absatz 3 in Verbindung mit Absatz 1 als Betriebsausgaben (Abzug) oder Betriebseinnahmen (Zuschlag) behandelt worden sind.</w:t>
      </w:r>
    </w:p>
    <w:p>
      <w:r>
        <w:rPr>
          <w:color w:val="555555"/>
          <w:sz w:val="17"/>
        </w:rPr>
        <w:t xml:space="preserve">Zitiervorschlag: § 6c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