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EStG — Höhe des Kindergeldes, Zahlungszeitraum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Das Kindergeld beträgt monatlich für jedes Kind 259 Euro.</w:t>
      </w:r>
    </w:p>
    <w:p>
      <w:r>
        <w:t xml:space="preserve">(2) Das Kindergeld wird monatlich vom Beginn des Monats an gezahlt, in dem die Anspruchsvoraussetzungen erfüllt sind, bis zum Ende des Monats, in dem die Anspruchsvoraussetzungen wegfallen.</w:t>
      </w:r>
    </w:p>
    <w:p>
      <w:r>
        <w:t xml:space="preserve">(3) Werden die Freibeträge für Kinder nach § 31 Satz 1 in Verbindung mit § 32 Absatz 6 Satz 1 angehoben, wird das Kindergeld entsprechend erhöht. Das Kindergeld ist dabei auf volle Euro kaufmännisch zu runden.</w:t>
      </w:r>
    </w:p>
    <w:p>
      <w:r>
        <w:rPr>
          <w:color w:val="555555"/>
          <w:sz w:val="17"/>
        </w:rPr>
        <w:t xml:space="preserve">Zitiervorschlag: § 66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