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EStG — Weitere Anwendung von Rechtsvorschriften, die vor Herstellung der Einheit Deutschlands in dem in Artikel 3 des Einigungsvertrages genannten Gebiet gegolten haben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über Sonderabschreibungen nach § 3 Absatz 1 des Steueränderungsgesetzes vom 6. März 1990 (GBl. I Nr. 17 S. 136) in Verbindung mit § 7 der Durchführungsbestimmung zum Gesetz zur Änderung der Rechtsvorschriften über die Einkommen-, Körperschaft- und Vermögensteuer – Steueränderungsgesetz – vom 16. März 1990 (GBl. I Nr. 21 S. 195) sind auf Wirtschaftsgüter weiter anzuwenden, die nach dem 31. Dezember 1989 und vor dem 1. Januar 1991 in dem in Artikel 3 des Einigungsvertrages genannten Gebiet angeschafft oder hergestellt worden sind.</w:t>
      </w:r>
    </w:p>
    <w:p>
      <w:r>
        <w:t xml:space="preserve">(2) 1Rücklagen nach § 3 Absatz 2 des Steueränderungsgesetzes vom 6. März 1990 (GBl. I Nr. 17 S. 136) in Verbindung mit § 8 der Durchführungsbestimmung zum Gesetz zur Änderung der Rechtsvorschriften über die Einkommen-, Körperschaft- und Vermögensteuer – Steueränderungsgesetz – vom 16. März 1990 (GBl. I Nr. 21 S. 195) dürfen, soweit sie zum 31. Dezember 1990 zulässigerweise gebildet worden sind, auch nach diesem Zeitpunkt fortgeführt werden. 2Sie sind spätestens im Veranlagungszeitraum 1995 gewinn- oder sonst einkünfteerhöhend aufzulösen. 3Sind vor dieser Auflösung begünstigte Wirtschaftsgüter angeschafft oder hergestellt worden, sind die in Rücklage eingestellten Beträge von den Anschaffungs- oder Herstellungskosten abzuziehen; die Rücklage ist in Höhe des abgezogenen Betrags im Veranlagungszeitraum der Anschaffung oder Herstellung gewinn- oder sonst einkünfteerhöhend aufzulösen.</w:t>
      </w:r>
    </w:p>
    <w:p>
      <w:r>
        <w:t xml:space="preserve">(3) Die Vorschrift über den Steuerabzugsbetrag nach § 9 Absatz 1 der Durchführungsbestimmung zum Gesetz zur Änderung der Rechtsvorschriften über die Einkommen-, Körperschaft- und Vermögensteuer – Steueränderungsgesetz – vom 16. März 1990 (GBl. I Nr. 21 S. 195) ist für Steuerpflichtige weiter anzuwenden, die vor dem 1. Januar 1991 in dem in Artikel 3 des Einigungsvertrages genannten Gebiet eine Betriebsstätte begründet haben, wenn sie von dem Tag der Begründung der Betriebsstätte an zwei Jahre lang die Tätigkeit ausüben, die Gegenstand der Betriebsstätte ist.</w:t>
      </w:r>
    </w:p>
    <w:p>
      <w:r>
        <w:rPr>
          <w:color w:val="555555"/>
          <w:sz w:val="17"/>
        </w:rPr>
        <w:t xml:space="preserve">Zitiervorschlag: § 58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