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50i EStG — Besteuerung bestimmter Einkünfte und Anwendung von Doppelbesteuerungsabkommen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1Sind Wirtschaftsgüter des Betriebsvermögens oder sind Anteile im Sinne des § 17</w:t>
      </w:r>
    </w:p>
    <w:p>
      <w:pPr>
        <w:ind w:left="420"/>
      </w:pPr>
      <w:r>
        <w:t xml:space="preserve">1. vor dem 29. Juni 2013 in das Betriebsvermögen einer Personengesellschaft im Sinne des § 15 Absatz 3 übertragen oder überführt worden,</w:t>
      </w:r>
    </w:p>
    <w:p>
      <w:pPr>
        <w:ind w:left="420"/>
      </w:pPr>
      <w:r>
        <w:t xml:space="preserve">2. ist eine Besteuerung der stillen Reserven im Zeitpunkt der Übertragung oder Überführung unterblieben, und</w:t>
      </w:r>
    </w:p>
    <w:p>
      <w:pPr>
        <w:ind w:left="420"/>
      </w:pPr>
      <w:r>
        <w:t xml:space="preserve">3. ist das Recht der Bundesrepublik Deutschland hinsichtlich der Besteuerung des Gewinns aus der Veräußerung oder Entnahme dieser Wirtschaftsgüter oder Anteile ungeachtet der Anwendung dieses Absatzes vor dem 1. Januar 2017 ausgeschlossen oder beschränkt worden,</w:t>
      </w:r>
    </w:p>
    <w:p>
      <w:r>
        <w:t xml:space="preserve">so ist der Gewinn, den ein Steuerpflichtiger, der im Sinne eines Abkommens zur Vermeidung der Doppelbesteuerung im anderen Vertragsstaat ansässig ist, aus der späteren Veräußerung oder Entnahme dieser Wirtschaftsgüter oder Anteile erzielt, ungeachtet entgegenstehender Bestimmungen des Abkommens zur Vermeidung der Doppelbesteuerung zu versteuern. 2Als Übertragung oder Überführung von Anteilen im Sinne des § 17 in das Betriebsvermögen einer Personengesellschaft gilt auch die Gewährung neuer Anteile an eine Personengesellschaft, die bisher auch eine Tätigkeit im Sinne des § 15 Absatz 1 Satz 1 Nummer 1 ausgeübt hat oder gewerbliche Einkünfte im Sinne des § 15 Absatz 1 Satz 1 Nummer 2 bezogen hat, im Rahmen der Einbringung eines Betriebs oder Teilbetriebs oder eines Mitunternehmeranteils dieser Personengesellschaft in eine Körperschaft nach § 20 des Umwandlungssteuergesetzes, wenn</w:t>
      </w:r>
    </w:p>
    <w:p>
      <w:pPr>
        <w:ind w:left="420"/>
      </w:pPr>
      <w:r>
        <w:t xml:space="preserve">1. der Einbringungszeitpunkt vor dem 29. Juni 2013 liegt,</w:t>
      </w:r>
    </w:p>
    <w:p>
      <w:pPr>
        <w:ind w:left="420"/>
      </w:pPr>
      <w:r>
        <w:t xml:space="preserve">2. die Personengesellschaft nach der Einbringung als Personengesellschaft im Sinne des § 15 Absatz 3 fortbesteht und</w:t>
      </w:r>
    </w:p>
    <w:p>
      <w:pPr>
        <w:ind w:left="420"/>
      </w:pPr>
      <w:r>
        <w:t xml:space="preserve">3. das Recht der Bundesrepublik Deutschland hinsichtlich der Besteuerung des Gewinns aus der Veräußerung oder Entnahme der neuen Anteile ungeachtet der Anwendung dieses Absatzes bereits im Einbringungszeitpunkt ausgeschlossen oder beschränkt ist oder vor dem 1. Januar 2017 ausgeschlossen oder beschränkt worden ist.</w:t>
      </w:r>
    </w:p>
    <w:p>
      <w:r>
        <w:t xml:space="preserve">3Auch die laufenden Einkünfte aus der Beteiligung an der Personengesellschaft, auf die die in Satz 1 genannten Wirtschaftsgüter oder Anteile übertragen oder überführt oder der im Sinne des Satzes 2 neue Anteile gewährt wurden, sind ungeachtet entgegenstehender Bestimmungen des Abkommens zur Vermeidung der Doppelbesteuerung zu versteuern. 4Die Sätze 1 und 3 gelten sinngemäß, wenn Wirtschaftsgüter vor dem 29. Juni 2013 Betriebsvermögen eines Einzelunternehmens oder einer Personengesellschaft geworden sind, die deswegen Einkünfte aus Gewerbebetrieb erzielen, weil der Steuerpflichtige sowohl im überlassenden Betrieb als auch im nutzenden Betrieb allein oder zusammen mit anderen Gesellschaftern einen einheitlichen geschäftlichen Betätigungswillen durchsetzen kann und dem nutzenden Betrieb eine wesentliche Betriebsgrundlage zur Nutzung überlässt.</w:t>
      </w:r>
    </w:p>
    <w:p>
      <w:r>
        <w:t xml:space="preserve">(2) Bei Einbringung nach § 20 des Umwandlungssteuergesetzes sind die Wirtschaftsgüter und Anteile im Sinne des Absatzes 1 abweichend von § 20 Absatz 2 Satz 2 des Umwandlungssteuergesetzes stets mit dem gemeinen Wert anzusetzen, soweit das Recht der Bundesrepublik Deutschland hinsichtlich der Besteuerung des Gewinns aus der Veräußerung der erhaltenen Anteile oder hinsichtlich der mit diesen im Zusammenhang stehenden Anteile im Sinne des § 22 Absatz 7 des Umwandlungssteuergesetzes ausgeschlossen oder beschränkt ist.</w:t>
      </w:r>
    </w:p>
    <w:p>
      <w:r>
        <w:rPr>
          <w:color w:val="555555"/>
          <w:sz w:val="17"/>
        </w:rPr>
        <w:t xml:space="preserve">Zitiervorschlag: § 50i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