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50f EStG — Bußgeldvorschriften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Ordnungswidrig handelt, wer vorsätzlich oder leichtfertig entgegen § 22a Absatz 1 Satz 1 dort genannte Daten nicht, nicht vollständig oder nicht rechtzeitig übermittelt oder eine dort genannte Mitteilung nicht, nicht vollständig oder nicht rechtzeitig macht.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im Sinne des § 36 Absatz 1 Nummer 1 des Gesetzes über Ordnungswidrigkeiten ist die zentrale Stelle nach § 81.</w:t>
      </w:r>
    </w:p>
    <w:p>
      <w:r>
        <w:rPr>
          <w:color w:val="555555"/>
          <w:sz w:val="17"/>
        </w:rPr>
        <w:t xml:space="preserve">Zitiervorschlag: § 50f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https://recht.nulegal.eu/gesetze/EStG/50f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