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50e EStG — Bußgeldvorschriften; Nichtverfolgung von Steuerstraftaten bei geringfügiger Beschäftigung in Privathaushalten</w:t>
      </w:r>
    </w:p>
    <w:p>
      <w:r>
        <w:rPr>
          <w:color w:val="555555"/>
          <w:sz w:val="18"/>
        </w:rPr>
        <w:t xml:space="preserve">Einkommensteuergesetz</w:t>
      </w:r>
    </w:p>
    <w:p>
      <w:r>
        <w:rPr>
          <w:color w:val="555555"/>
          <w:sz w:val="18"/>
        </w:rPr>
        <w:t xml:space="preserve">Stand: 18.12.2024 (konsolidierte Textfassung, kein amtliches Inkrafttretensdatum)</w:t>
      </w:r>
    </w:p>
    <w:p>
      <w:r>
        <w:t xml:space="preserve">(1) Ordnungswidrig handelt, wer vorsätzlich oder leichtfertig entgegen § 45d Absatz 1 Satz 1, der nach § 45e erlassenen Rechtsverordnung oder den unmittelbar geltenden Verträgen mit den in Artikel 17 der Richtlinie 2003/48/EG genannten Staaten und Gebieten eine Mitteilung nicht, nicht richtig, nicht vollständig oder nicht rechtzeitig abgibt.</w:t>
      </w:r>
    </w:p>
    <w:p>
      <w:r>
        <w:t xml:space="preserve">(2) Ordnungswidrig handelt, wer vorsätzlich oder leichtfertig</w:t>
      </w:r>
    </w:p>
    <w:p>
      <w:pPr>
        <w:ind w:left="420"/>
      </w:pPr>
      <w:r>
        <w:t xml:space="preserve">1. entgegen § 45b Absatz 2 in Verbindung mit Absatz 4 eine dort genannte Angabe oder dort genannte Daten nicht richtig oder nicht vollständig übermittelt,</w:t>
      </w:r>
    </w:p>
    <w:p>
      <w:pPr>
        <w:ind w:left="420"/>
      </w:pPr>
      <w:r>
        <w:t xml:space="preserve">2. entgegen § 45b Absatz 5 oder Absatz 6 Satz 1 oder 2, § 45c Absatz 1 Satz 1, auch in Verbindung mit Satz 2, oder § 45c Absatz 2 Satz 1, auch in Verbindung mit Satz 2, eine dort genannte Angabe oder dort genannte Daten nicht richtig oder nicht vollständig übermittelt oder</w:t>
      </w:r>
    </w:p>
    <w:p>
      <w:pPr>
        <w:ind w:left="420"/>
      </w:pPr>
      <w:r>
        <w:t xml:space="preserve">3. entgegen § 45b Absatz 7 Satz 1 oder 2 eine Mitteilung nicht richtig oder nicht vollständig macht und dadurch ermöglicht, Steuern zu verkürzen oder nicht gerechtfertigte Steuervorteile zu erlangen.</w:t>
      </w:r>
    </w:p>
    <w:p>
      <w:r>
        <w:t xml:space="preserve">(3) In den Fällen des Absatzes 2 Nummer 3 kann die Ordnungswidrigkeit auch dann geahndet werden, wenn sie nicht im Geltungsbereich dieses Gesetzes begangen wird.</w:t>
      </w:r>
    </w:p>
    <w:p>
      <w:r>
        <w:t xml:space="preserve">(4) Die Ordnungswidrigkeit kann in den Fällen des Absatzes 2 mit einer Geldbuße bis zu zwanzigtausend Euro, in den Fällen des Absatzes 1 mit einer Geldbuße bis zu fünftausend Euro geahndet werden.</w:t>
      </w:r>
    </w:p>
    <w:p>
      <w:r>
        <w:t xml:space="preserve">(5) Verwaltungsbehörde im Sinne des § 36 Absatz 1 Nummer 1 des Gesetzes über Ordnungswidrigkeiten ist das Bundeszentralamt für Steuern.</w:t>
      </w:r>
    </w:p>
    <w:p>
      <w:r>
        <w:t xml:space="preserve">(6) 1Liegen die Voraussetzungen des § 40a Absatz 2 vor, werden Steuerstraftaten (§§ 369 bis 376 der Abgabenordnung) als solche nicht verfolgt, wenn der Arbeitgeber in den Fällen des § 8a des Vierten Buches Sozialgesetzbuch entgegen § 41a Absatz 1 Nummer 1, auch in Verbindung mit Absatz 2 und 3 und § 51a, und § 40a Absatz 6 Satz 3 dieses Gesetzes in Verbindung mit § 28a Absatz 7 Satz 1 des Vierten Buches Sozialgesetzbuch für das Arbeitsentgelt die Lohnsteuer-Anmeldung und die Anmeldung der einheitlichen Pauschsteuer nicht oder nicht rechtzeitig durchführt und dadurch Steuern verkürzt oder für sich oder einen anderen nicht gerechtfertigte Steuervorteile erlangt. 2Die Freistellung von der Verfolgung nach Satz 1 gilt auch für den Arbeitnehmer einer in Satz 1 genannten Beschäftigung, der die Finanzbehörde pflichtwidrig über steuerlich erhebliche Tatsachen aus dieser Beschäftigung in Unkenntnis lässt. 3Die Bußgeldvorschriften der §§ 377 bis 384 der Abgabenordnung bleiben mit der Maßgabe anwendbar, dass § 378 der Abgabenordnung auch bei vorsätzlichem Handeln anwendbar ist.</w:t>
      </w:r>
    </w:p>
    <w:p>
      <w:r>
        <w:rPr>
          <w:color w:val="555555"/>
          <w:sz w:val="17"/>
        </w:rPr>
        <w:t xml:space="preserve">Zitiervorschlag: § 50e 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https://recht.nulegal.eu/gesetze/EStG/50e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