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4k EStG — Betriebsausgabenabzug bei Besteuerungsinkongruenzen</w:t>
      </w:r>
    </w:p>
    <w:p>
      <w:r>
        <w:rPr>
          <w:color w:val="555555"/>
          <w:sz w:val="18"/>
        </w:rPr>
        <w:t xml:space="preserve">Einkommensteuergesetz</w:t>
      </w:r>
    </w:p>
    <w:p>
      <w:r>
        <w:rPr>
          <w:color w:val="555555"/>
          <w:sz w:val="18"/>
        </w:rPr>
        <w:t xml:space="preserve">Stand: 16.07.2021 (konsolidierte Textfassung, kein amtliches Inkrafttretensdatum)</w:t>
      </w:r>
    </w:p>
    <w:p>
      <w:r>
        <w:t xml:space="preserve">(1) 1Aufwendungen für die Nutzung oder im Zusammenhang mit der Übertragung von Kapitalvermögen sind insoweit nicht als Betriebsausgaben abziehbar, als die den Aufwendungen entsprechenden Erträge auf Grund einer vom deutschen Recht abweichenden steuerlichen Qualifikation oder Zurechnung des Kapitalvermögens nicht oder niedriger als bei dem deutschen Recht entsprechender Qualifikation oder Zurechnung besteuert werden. 2Satz 1 gilt nicht, soweit die Besteuerungsinkongruenz voraussichtlich in einem künftigen Besteuerungszeitraum beseitigt wird und die Zahlungsbedingungen einem Fremdvergleich standhalten.</w:t>
      </w:r>
    </w:p>
    <w:p>
      <w:r>
        <w:t xml:space="preserve">(2) 1Soweit nicht bereits die Voraussetzungen für die Versagung des Betriebsausgabenabzugs nach Absatz 1 vorliegen, sind Aufwendungen auch insoweit nicht als Betriebsausgaben abziehbar, als die den Aufwendungen entsprechenden Erträge auf Grund einer vom deutschen Recht abweichenden steuerlichen Behandlung des Steuerpflichtigen oder auf Grund einer vom deutschen Recht abweichenden steuerlichen Beurteilung von anzunehmenden schuldrechtlichen Beziehungen im Sinne des § 1 Absatz 4 Satz 1 Nummer 2 des Außensteuergesetzes in keinem Staat einer tatsächlichen Besteuerung unterliegen. 2Handelt es sich bei dem Gläubiger der Erträge im Sinne des Satzes 1 um einen unbeschränkt steuerpflichtigen, unmittelbaren oder mittelbaren Gesellschafter einer ausländischen vermögensverwaltenden Personengesellschaft oder um eine Personengesellschaft, an der ein solcher Gesellschafter unmittelbar oder mittelbar beteiligt ist, gilt § 39 Absatz 2 Nummer 2 der Abgabenordnung nicht, soweit die in Satz 1 genannten Aufwendungen in dem anderen Staat zum Abzug zugelassen sind und die den Aufwendungen entsprechenden Erträge durch die vom deutschen Recht abweichende Zurechnung keiner tatsächlichen Besteuerung unterliegen. 3Satz 1 gilt nicht, soweit den Aufwendungen Erträge desselben Steuerpflichtigen gegenüberstehen, die sowohl im Inland als auch nachweislich in dem Staat des Gläubigers oder, wenn es sich bei dem Gläubiger um eine Personengesellschaft handelt, im Staat des unmittelbaren oder mittelbaren Gesellschafters beziehungsweise des anderen Unternehmensteils im Rahmen einer anzunehmenden schuldrechtlichen Beziehung einer tatsächlichen Besteuerung unterliegen.</w:t>
      </w:r>
    </w:p>
    <w:p>
      <w:r>
        <w:t xml:space="preserve">(3) Soweit nicht bereits die Voraussetzungen für die Versagung des Betriebsausgabenabzugs nach den vorstehenden Absätzen vorliegen, sind Aufwendungen auch insoweit nicht als Betriebsausgaben abziehbar, als die den Aufwendungen entsprechenden Erträge auf Grund deren vom deutschen Recht abweichender steuerlicher Zuordnung oder Zurechnung nach den Rechtsvorschriften anderer Staaten in keinem Staat einer tatsächlichen Besteuerung unterliegen.</w:t>
      </w:r>
    </w:p>
    <w:p>
      <w:r>
        <w:t xml:space="preserve">(4) 1Soweit nicht bereits die Voraussetzungen für die Versagung des Betriebsausgabenabzugs nach den vorstehenden Absätzen vorliegen, sind Aufwendungen auch insoweit nicht als Betriebsausgaben abziehbar, als die Aufwendungen auch in einem anderen Staat berücksichtigt werden. 2Eine Berücksichtigung der Aufwendungen im Sinne des Satzes 1 liegt bei unbeschränkt Steuerpflichtigen auch vor, wenn der andere Staat den Abzug der Aufwendungen bereits nach seinen Vorschriften nicht zulässt, die diesem oder den vorstehenden Absätzen entsprechen; dies gilt nicht, wenn der Abzug der Aufwendungen in einem anderen Staat auf Grund einer diesem Absatz entsprechenden Regelung nicht zugelassen wird bei</w:t>
      </w:r>
    </w:p>
    <w:p>
      <w:pPr>
        <w:ind w:left="420"/>
      </w:pPr>
      <w:r>
        <w:t xml:space="preserve">1. einem mittelbaren oder unmittelbaren Gesellschafter eines unbeschränkt Steuerpflichtigen im Sinne des § 1 des Körperschaftsteuergesetzes oder</w:t>
      </w:r>
    </w:p>
    <w:p>
      <w:pPr>
        <w:ind w:left="420"/>
      </w:pPr>
      <w:r>
        <w:t xml:space="preserve">2. dem Steuerpflichtigen, sofern sich dessen Wohnsitz, Sitz oder Ort der Geschäftsleitung auch in einem anderen Mitgliedstaat der Europäischen Union befindet und dieser Staat den Steuerpflichtigen für Zwecke der Anwendung eines Abkommens zur Vermeidung der Doppelbesteuerung zwischen der Bundesrepublik Deutschland und diesem Staat als nicht in diesem Staat ansässig behandelt.</w:t>
      </w:r>
    </w:p>
    <w:p>
      <w:r>
        <w:t xml:space="preserve">3Satz 1 gilt nicht, soweit den Aufwendungen Erträge desselben Steuerpflichtigen gegenüberstehen, die sowohl im Inland als auch nachweislich in dem anderen Staat einer tatsächlichen Besteuerung unterliegen. 4Bei unbeschränkt Steuerpflichtigen, bei denen eine Doppelbesteuerung durch Anrechnung oder Abzug der ausländischen Steuer vermieden wird, finden die Sätze 1 bis 3 nur Anwendung, soweit die Aufwendungen auch Erträge in einem anderen Staat mindern, die nicht der inländischen Besteuerung unterliegen.</w:t>
      </w:r>
    </w:p>
    <w:p>
      <w:r>
        <w:t xml:space="preserve">(5) 1Soweit nicht bereits die Voraussetzungen für die Versagung des Betriebsausgabenabzugs nach den vorstehenden Absätzen vorliegen, sind Aufwendungen auch insoweit nicht als Betriebsausgaben abziehbar, als den aus diesen Aufwendungen unmittelbar oder mittelbar resultierenden Erträgen Aufwendungen gegenüberstehen, deren Abzug beim Gläubiger, einem weiteren Gläubiger oder einer anderen Person bei entsprechender Anwendung dieses Absatzes oder der Absätze 1 bis 4 versagt würde. 2Satz 1 findet keine Anwendung, soweit der steuerliche Vorteil infolge einer Besteuerungsinkongruenz im Sinne dieses Absatzes oder der Absätze 1 bis 4 bereits beim Gläubiger, beim weiteren Gläubiger oder bei der anderen Person im Sinne des Satzes 1 beseitigt wird.</w:t>
      </w:r>
    </w:p>
    <w:p>
      <w:r>
        <w:t xml:space="preserve">(6) 1Die Absätze 1 bis 5 finden nur Anwendung, wenn der Tatbestand dieser Absätze zwischen nahestehenden Personen im Sinne des § 1 Absatz 2 des Außensteuergesetzes oder zwischen einem Unternehmen und seiner Betriebsstätte verwirklicht wird oder wenn eine strukturierte Gestaltung anzunehmen ist. 2Einer Person, die mit einer anderen Person durch abgestimmtes Verhalten zusammenwirkt, werden für Zwecke dieses Absatzes und der Absätze 1 bis 5 die Beteiligung, die Stimmrechte und die Gewinnbezugsrechte der anderen Person zugerechnet. 3Eine strukturierte Gestaltung im Sinne des Satzes 1 ist anzunehmen, wenn der steuerliche Vorteil, der sich ohne die Anwendung der vorstehenden Absätze ergeben würde, ganz oder zum Teil in die Bedingungen der vertraglichen Vereinbarungen eingerechnet wurde oder die Bedingungen der vertraglichen Vereinbarungen oder die den vertraglichen Vereinbarungen zugrunde liegenden Umstände darauf schließen lassen, dass die an der Gestaltung Beteiligten den steuerlichen Vorteil erwarten konnten. 4Ein Steuerpflichtiger wird nicht als Teil einer strukturierten Gestaltung behandelt, wenn nach den äußeren Umständen vernünftigerweise nicht davon auszugehen ist, dass ihm der steuerliche Vorteil bekannt war und er nachweist, dass er nicht an dem steuerlichen Vorteil beteiligt wurde.</w:t>
      </w:r>
    </w:p>
    <w:p>
      <w:r>
        <w:t xml:space="preserve">(7) Die Absätze 1 bis 6 sind ungeachtet der Vorschriften eines Abkommens zur Vermeidung der Doppelbesteuerung anzuwenden.</w:t>
      </w:r>
    </w:p>
    <w:p>
      <w:r>
        <w:rPr>
          <w:color w:val="555555"/>
          <w:sz w:val="17"/>
        </w:rPr>
        <w:t xml:space="preserve">Zitiervorschlag: § 4k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