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4h EStG — Betriebsausgabenabzug für Zinsaufwendungen (Zinsschranke)</w:t>
      </w:r>
    </w:p>
    <w:p>
      <w:r>
        <w:rPr>
          <w:color w:val="555555"/>
          <w:sz w:val="18"/>
        </w:rPr>
        <w:t xml:space="preserve">Einkommensteuergesetz</w:t>
      </w:r>
    </w:p>
    <w:p>
      <w:r>
        <w:rPr>
          <w:color w:val="555555"/>
          <w:sz w:val="18"/>
        </w:rPr>
        <w:t xml:space="preserve">Stand: 06.01.2024 (konsolidierte Textfassung, kein amtliches Inkrafttretensdatum)</w:t>
      </w:r>
    </w:p>
    <w:p>
      <w:r>
        <w:t xml:space="preserve">(1) 1Zinsaufwendungen eines Betriebs sind abziehbar in Höhe des Zinsertrags, darüber hinaus nur bis zur Höhe des verrechenbaren EBITDA. 2Das verrechenbare EBITDA ist 30 Prozent des um die Zinsaufwendungen und um die nach § 6 Absatz 2 Satz 1 abzuziehenden, nach § 6 Absatz 2a Satz 2 gewinnmindernd aufzulösenden und nach § 7 abgesetzten Beträge erhöhten und um die Zinserträge verminderten maßgeblichen Gewinns. 3Soweit das verrechenbare EBITDA die um die Zinserträge geminderten Zinsaufwendungen des Betriebs (Nettozinsaufwendungen) übersteigt, ist es in die folgenden fünf Wirtschaftsjahre vorzutragen (EBITDA-Vortrag); ein EBITDA-Vortrag entsteht nicht in Wirtschaftsjahren, in denen die Zinsaufwendungen die Zinserträge nicht übersteigen oder Absatz 2 die Anwendung von Satz 1 ausschließt. 4Zinsaufwendungen, die nach Satz 1 nicht abgezogen werden können, sind bis zur Höhe der EBITDA-Vorträge aus vorangegangenen Wirtschaftsjahren abziehbar und mindern die EBITDA-Vorträge in ihrer zeitlichen Reihenfolge. 5Danach verbleibende nicht abziehbare Zinsaufwendungen sind in die folgenden Wirtschaftsjahre vorzutragen (Zinsvortrag). 6Sie erhöhen die Zinsaufwendungen dieser Wirtschaftsjahre, nicht aber den maßgeblichen Gewinn. 7Absatz 2 findet keine Anwendung, soweit Zinsaufwendungen aufgrund eines Zinsvortrags erhöht wurden.</w:t>
      </w:r>
    </w:p>
    <w:p>
      <w:r>
        <w:t xml:space="preserve">(2) 1Absatz 1 Satz 1 ist nicht anzuwenden, wenn</w:t>
      </w:r>
    </w:p>
    <w:p>
      <w:pPr>
        <w:ind w:left="420"/>
      </w:pPr>
      <w:r>
        <w:t xml:space="preserve">a) die Nettozinsaufwendungen des Betriebs weniger als drei Millionen Euro betragen,</w:t>
      </w:r>
    </w:p>
    <w:p>
      <w:pPr>
        <w:ind w:left="420"/>
      </w:pPr>
      <w:r>
        <w:t xml:space="preserve">b) der Steuerpflichtige keiner Person im Sinne des § 1 Absatz 2 (gegebenenfalls in Verbindung mit § 1 Absatz 1 Satz 2) des Außensteuergesetzes nahesteht und über keine Betriebsstätte außerhalb des Staates verfügt, in dem sich sein Wohnsitz, gewöhnlicher Aufenthalt, Sitz oder seine Geschäftsleitung befindet, oder</w:t>
      </w:r>
    </w:p>
    <w:p>
      <w:pPr>
        <w:ind w:left="420"/>
      </w:pPr>
      <w:r>
        <w:t xml:space="preserve">c) der Betrieb zu einem Konzern gehört und seine Eigenkapitalquote am Schluss des vorangegangenen Abschlussstichtages gleich hoch oder höher ist als die des Konzerns (Eigenkapitalvergleich). 2Ein Unterschreiten der Eigenkapitalquote des Konzerns um bis zu zwei Prozentpunkte ist unschädlich.3Eigenkapitalquote ist das Verhältnis des Eigenkapitals zur Bilanzsumme; sie bemisst sich nach dem Konzernabschluss, der den Betrieb umfasst, und ist für den Betrieb auf der Grundlage des Jahresabschlusses oder Einzelabschlusses zu ermitteln. 4Wahlrechte sind im Konzernabschluss und im Jahresabschluss oder Einzelabschluss einheitlich auszuüben; bei gesellschaftsrechtlichen Kündigungsrechten ist insoweit mindestens das Eigenkapital anzusetzen, das sich nach den Vorschriften des Handelsgesetzbuchs ergeben würde. 5Bei der Ermittlung der Eigenkapitalquote des Betriebs ist das Eigenkapital um einen im Konzernabschluss enthaltenen Firmenwert, soweit er auf den Betrieb entfällt, zu erhöhen sowie um das Eigenkapital, das keine Stimmrechte vermittelt – mit Ausnahme von Vorzugsaktien –, die Anteile an anderen Konzerngesellschaften und um Einlagen der letzten sechs Monate vor dem maßgeblichen Abschlussstichtag, soweit ihnen Entnahmen oder Ausschüttungen innerhalb der ersten sechs Monate nach dem maßgeblichen Abschlussstichtag gegenüberstehen, zu kürzen. 6Die Bilanzsumme ist um Kapitalforderungen zu kürzen, die nicht im Konzernabschluss ausgewiesen sind und denen Verbindlichkeiten im Sinne des Absatzes 3 in mindestens gleicher Höhe gegenüberstehen. 7Sonderbetriebsvermögen ist dem Betrieb der Mitunternehmerschaft zuzuordnen, soweit es im Konzernvermögen enthalten ist.8Die für den Eigenkapitalvergleich maßgeblichen Abschlüsse sind einheitlich nach den International Financial Reporting Standards (IFRS) zu erstellen. 9Hiervon abweichend können Abschlüsse nach dem Handelsrecht eines Mitgliedstaats der Europäischen Union verwendet werden, wenn kein Konzernabschluss nach den IFRS zu erstellen und offen zu legen ist und für keines der letzten fünf Wirtschaftsjahre ein Konzernabschluss nach den IFRS erstellt wurde; nach den Generally Accepted Accounting Principles der Vereinigten Staaten von Amerika (US-GAAP) aufzustellende und offen zu legende Abschlüsse sind zu verwenden, wenn kein Konzernabschluss nach den IFRS oder dem Handelsrecht eines Mitgliedstaats der Europäischen Union zu erstellen und offen zu legen ist. 10Der Konzernabschluss muss den Anforderungen an die handelsrechtliche Konzernrechnungslegung genügen oder die Voraussetzungen erfüllen, unter denen ein Abschluss nach den §§ 291 und 292 des Handelsgesetzbuchs befreiende Wirkung hätte. 11Wurde der Jahresabschluss oder Einzelabschluss nicht nach denselben Rechnungslegungsstandards wie der Konzernabschluss aufgestellt, ist die Eigenkapitalquote des Betriebs in einer Überleitungsrechnung nach den für den Konzernabschluss geltenden Rechnungslegungsstandards zu ermitteln. 12Die Überleitungsrechnung ist einer prüferischen Durchsicht zu unterziehen. 13Auf Verlangen der Finanzbehörde ist der Abschluss oder die Überleitungsrechnung des Betriebs durch einen Abschlussprüfer zu prüfen, der die Voraussetzungen des § 319 des Handelsgesetzbuchs erfüllt.14Ist ein dem Eigenkapitalvergleich zugrunde gelegter Abschluss unrichtig und führt der zutreffende Abschluss zu einer Erhöhung der nach Absatz 1 nicht abziehbaren Zinsaufwendungen, ist ein Zuschlag entsprechend § 162 Absatz 4 Satz 1 und 2 der Abgabenordnung festzusetzen. 15Bemessungsgrundlage für den Zuschlag sind die nach Absatz 1 nicht abziehbaren Zinsaufwendungen. 16§ 162 Absatz 4 Satz 5 bis 7 der Abgabenordnung gilt sinngemäß.</w:t>
      </w:r>
    </w:p>
    <w:p>
      <w:r>
        <w:t xml:space="preserve">2Ist eine Gesellschaft, bei der der Gesellschafter als Mitunternehmer anzusehen ist, unmittelbar oder mittelbar einer Körperschaft nachgeordnet, gilt für die Gesellschaft § 8a Absatz 3 des Körperschaftsteuergesetzes entsprechend. 3An die Stelle des Steuerpflichtigen tritt für Zwecke des Satzes 1 Buchstabe b bei Personengesellschaften oder Mitunternehmerschaften die Personengesellschaft oder Mitunternehmerschaft.</w:t>
      </w:r>
    </w:p>
    <w:p>
      <w:r>
        <w:t xml:space="preserve">(3) 1Maßgeblicher Gewinn ist der nach den Vorschriften dieses Gesetzes mit Ausnahme des Absatzes 1 ermittelte steuerpflichtige Gewinn. 2Zinsaufwendungen sind Vergütungen für Fremdkapital, wirtschaftlich gleichwertige Aufwendungen und sonstige Aufwendungen im Zusammenhang mit der Beschaffung von Fremdkapital im Sinne des Artikels 2 Absatz 1 der Richtlinie (EU) 2016/1164 des Rates vom 12. Juli 2016 mit Vorschriften zur Bekämpfung von Steuervermeidungspraktiken mit unmittelbaren Auswirkungen auf das Funktionieren des Binnenmarkts (ABl. L 193 vom 19.7.2016, S. 1), die den maßgeblichen Gewinn gemindert haben. 3Zinserträge sind Erträge aus Kapitalforderungen jeder Art und wirtschaftlich gleichwertige Erträge im Zusammenhang mit Kapitalforderungen, die den maßgeblichen Gewinn erhöht haben. 4Ein Betrieb gehört zu einem Konzern, wenn er nach dem für die Anwendung des Absatzes 2 Satz 1 Buchstabe c zugrunde gelegten Rechnungslegungsstandard mit einem oder mehreren anderen Betrieben konsolidiert wird.</w:t>
      </w:r>
    </w:p>
    <w:p>
      <w:r>
        <w:t xml:space="preserve">(4) 1Der EBITDA-Vortrag und der Zinsvortrag sind gesondert festzustellen. 2Zuständig ist das für die gesonderte Feststellung des Gewinns und Verlusts der Gesellschaft zuständige Finanzamt, im Übrigen das für die Besteuerung zuständige Finanzamt. 3§ 10d Absatz 4 gilt sinngemäß. 4Feststellungsbescheide sind zu erlassen, aufzuheben oder zu ändern, soweit sich die nach Satz 1 festzustellenden Beträge ändern.</w:t>
      </w:r>
    </w:p>
    <w:p>
      <w:r>
        <w:t xml:space="preserve">(5) 1Bei Aufgabe oder Übertragung des Betriebs gehen ein nicht verbrauchter EBITDA-Vortrag und ein nicht verbrauchter Zinsvortrag unter. 2Scheidet ein Mitunternehmer aus einer Gesellschaft aus, gehen der EBITDA-Vortrag und der Zinsvortrag anteilig mit der Quote unter, mit der der ausgeschiedene Gesellschafter an der Gesellschaft beteiligt war. 3§ 8c des Körperschaftsteuergesetzes ist auf den Zinsvortrag einer Gesellschaft entsprechend anzuwenden, soweit an dieser unmittelbar oder mittelbar eine Körperschaft als Mitunternehmer beteiligt ist. 4Bei Aufgabe oder Übertragung eines Teilbetriebs gehen ein nicht verbrauchter EBITDA-Vortrag und ein nicht verbrauchter Zinsvortrag anteilig unter; § 15 Absatz 3 des Umwandlungssteuergesetzes gilt entsprechend.</w:t>
      </w:r>
    </w:p>
    <w:p>
      <w:r>
        <w:t xml:space="preserve">(6) 1Zinsaufwendungen oder Zinserträge aus Darlehen, die zur Finanzierung langfristiger öffentlicher Infrastrukturprojekte verwendet und auf Grund von allgemeinen Förderbedingungen vergeben werden, stellen keine Zinsaufwendungen oder Zinserträge im Sinne des Absatzes 3 Satz 2 und 3 dar, sofern es sich um mittelbar oder unmittelbar aus öffentlichen Haushalten gewährte Mittel der Europäischen Union, von Bund, Ländern, Gemeinden oder Mittel anderer öffentlich-rechtlicher Körperschaften oder einer nach § 5 Absatz 1 Nummer 2, 17 oder 18 des Körperschaftsteuergesetzes steuerbefreiten Einrichtung handelt. 2Satz 1 gilt nur, sofern sämtliche geschaffenen Vermögenswerte in einem Mitgliedstaat der Europäischen Union belegen sind, der Projektbetreiber in einem Mitgliedstaat der Europäischen Union ansässig ist und die Einkünfte aus dem Infrastrukturprojekt in einem Mitgliedstaat der Europäischen Union der Besteuerung unterliegen. 3Bei der Ermittlung des verrechenbaren EBITDA im Sinne des Absatzes 1 Satz 2 bleiben Aufwendungen und Erträge, die auf das Infrastrukturprojekt im Sinne des Satzes 1 entfallen, außer Ansatz.</w:t>
      </w:r>
    </w:p>
    <w:p>
      <w:r>
        <w:rPr>
          <w:color w:val="555555"/>
          <w:sz w:val="17"/>
        </w:rPr>
        <w:t xml:space="preserve">Zitiervorschlag: § 4h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