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4b EStG — Direktversicherung</w:t>
      </w:r>
    </w:p>
    <w:p>
      <w:r>
        <w:rPr>
          <w:color w:val="555555"/>
          <w:sz w:val="18"/>
        </w:rPr>
        <w:t xml:space="preserve">Einkommensteuergesetz</w:t>
      </w:r>
    </w:p>
    <w:p>
      <w:r>
        <w:rPr>
          <w:color w:val="555555"/>
          <w:sz w:val="18"/>
        </w:rPr>
        <w:t xml:space="preserve">Stand: 10.06.2019 (konsolidierte Textfassung, kein amtliches Inkrafttretensdatum)</w:t>
      </w:r>
    </w:p>
    <w:p>
      <w:r>
        <w:t xml:space="preserve">1Der Versicherungsanspruch aus einer Direktversicherung, die von einem Steuerpflichtigen aus betrieblichem Anlass abgeschlossen wird, ist dem Betriebsvermögen des Steuerpflichtigen nicht zuzurechnen, soweit am Schluss des Wirtschaftsjahres hinsichtlich der Leistungen des Versicherers die Person, auf deren Leben die Lebensversicherung abgeschlossen ist, oder ihre Hinterbliebenen bezugsberechtigt sind. 2Das gilt auch, wenn der Steuerpflichtige die Ansprüche aus dem Versicherungsvertrag abgetreten oder beliehen hat, sofern er sich der bezugsberechtigten Person gegenüber schriftlich verpflichtet, sie bei Eintritt des Versicherungsfalls so zu stellen, als ob die Abtretung oder Beleihung nicht erfolgt wäre.</w:t>
      </w:r>
    </w:p>
    <w:p>
      <w:r>
        <w:rPr>
          <w:color w:val="555555"/>
          <w:sz w:val="17"/>
        </w:rPr>
        <w:t xml:space="preserve">Zitiervorschlag: § 4b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