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EStG — Verfahren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1Der Leistungsempfänger hat bis zum zehnten Tag nach Ablauf des Monats, in dem die Gegenleistung im Sinne des § 48 erbracht wird, eine elektronische Anmeldung, in der er den Steuerabzug für den Anmeldungszeitraum selbst zu berechnen hat, nach amtlich vorgeschriebenem Datensatz über die amtlich vorgeschriebene Schnittstelle zu übermitteln. 2Auf Antrag kann das Finanzamt zur Vermeidung unbilliger Härten auf die Übermittlung nach amtlich vorgeschriebenem Datensatz über die amtlich vorgeschriebene Schnittstelle verzichten; in diesem Fall ist die Anmeldung vom Leistungsempfänger nach amtlich vorgeschriebenem Vordruck abzugeben. 3Der Abzugsbetrag ist am zehnten Tag nach Ablauf des Anmeldungszeitraums fällig und an das für den Leistenden zuständige Finanzamt für Rechnung des Leistenden abzuführen. 4Die Anmeldung des Abzugsbetrags steht einer Steueranmeldung gleich.</w:t>
      </w:r>
    </w:p>
    <w:p>
      <w:r>
        <w:t xml:space="preserve">(2) Der Leistungsempfänger hat mit dem Leistenden unter Angabe</w:t>
      </w:r>
    </w:p>
    <w:p>
      <w:pPr>
        <w:ind w:left="420"/>
      </w:pPr>
      <w:r>
        <w:t xml:space="preserve">1. des Namens und der Anschrift des Leistenden,</w:t>
      </w:r>
    </w:p>
    <w:p>
      <w:pPr>
        <w:ind w:left="420"/>
      </w:pPr>
      <w:r>
        <w:t xml:space="preserve">2. des Rechnungsbetrags, des Rechnungsdatums und des Zahlungstags,</w:t>
      </w:r>
    </w:p>
    <w:p>
      <w:pPr>
        <w:ind w:left="420"/>
      </w:pPr>
      <w:r>
        <w:t xml:space="preserve">3. der Höhe des Steuerabzugs und</w:t>
      </w:r>
    </w:p>
    <w:p>
      <w:pPr>
        <w:ind w:left="420"/>
      </w:pPr>
      <w:r>
        <w:t xml:space="preserve">4. des Finanzamts, bei dem der Abzugsbetrag angemeldet worden ist,</w:t>
      </w:r>
    </w:p>
    <w:p>
      <w:r>
        <w:t xml:space="preserve">über den Steuerabzug abzurechnen.</w:t>
      </w:r>
    </w:p>
    <w:p>
      <w:r>
        <w:t xml:space="preserve">(3) 1Der Leistungsempfänger haftet für einen nicht oder zu niedrig abgeführten Abzugsbetrag. 2Der Leistungsempfänger haftet nicht, wenn ihm im Zeitpunkt der Gegenleistung eine Freistellungsbescheinigung (§ 48b) vorgelegen hat, auf deren Rechtmäßigkeit er vertrauen konnte. 3Er darf insbesondere dann nicht auf eine Freistellungsbescheinigung vertrauen, wenn diese durch unlautere Mittel oder durch falsche Angaben erwirkt wurde und ihm dies bekannt oder infolge grober Fahrlässigkeit nicht bekannt war. 4Den Haftungsbescheid erlässt das für den Leistenden zuständige Finanzamt.</w:t>
      </w:r>
    </w:p>
    <w:p>
      <w:r>
        <w:t xml:space="preserve">(4) § 50b gilt entsprechend.</w:t>
      </w:r>
    </w:p>
    <w:p>
      <w:r>
        <w:rPr>
          <w:color w:val="555555"/>
          <w:sz w:val="17"/>
        </w:rPr>
        <w:t xml:space="preserve">Zitiervorschlag: § 48a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