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45c EStG — Zusammengefasste Mitteilung zur Bescheinigung und Abführung der Kapitalertragsteuer</w:t>
      </w:r>
    </w:p>
    <w:p>
      <w:r>
        <w:rPr>
          <w:color w:val="555555"/>
          <w:sz w:val="18"/>
        </w:rPr>
        <w:t xml:space="preserve">Einkommensteuergesetz</w:t>
      </w:r>
    </w:p>
    <w:p>
      <w:r>
        <w:rPr>
          <w:color w:val="555555"/>
          <w:sz w:val="18"/>
        </w:rPr>
        <w:t xml:space="preserve">Stand: 09.06.2021 (konsolidierte Textfassung, kein amtliches Inkrafttretensdatum)</w:t>
      </w:r>
    </w:p>
    <w:p>
      <w:r>
        <w:t xml:space="preserve">(1) 1Die die Kapitalerträge auszahlende Stelle hat dem Bundeszentralamt für Steuern bis zum 31. Juli des auf den Zufluss der Kapitalerträge folgenden Kalenderjahres folgende Daten zu übermitteln:</w:t>
      </w:r>
    </w:p>
    <w:p>
      <w:pPr>
        <w:ind w:left="420"/>
      </w:pPr>
      <w:r>
        <w:t xml:space="preserve">1. die Summe der in einem Kalenderjahr je Wertpapiergattung und Zahlungstag durch die die Kapitalerträge auszahlende Stelle berücksichtigten Bruttoerträge im Sinne des § 43 Absatz 1 Satz 1 Nummer 1a und 2 Satz 4;</w:t>
      </w:r>
    </w:p>
    <w:p>
      <w:pPr>
        <w:ind w:left="420"/>
      </w:pPr>
      <w:r>
        <w:t xml:space="preserve">2. den Betrag der auf diese Kapitalerträge einbehaltenen und abgeführten Kapitalertragsteuer und den Betrag der einbehaltenen und abgeführten Zuschlagsteuern;</w:t>
      </w:r>
    </w:p>
    <w:p>
      <w:pPr>
        <w:ind w:left="420"/>
      </w:pPr>
      <w:r>
        <w:t xml:space="preserve">3. die für diese Kapitalerträge nach § 45a Absatz 2 bescheinigte oder gemäß § 45a Absatz 2a angegebene Kapitalertragsteuer und Zuschlagsteuern; sind die Kapitalerträge nach Maßgabe des § 43a Absatz 3 Satz 2 mit negativen Kapitalerträgen auszugleichen, sind der Betrag der einbehaltenen und auf die Kapitalerträge entfallenden Kapitalertragsteuer vor Durchführung des Verlustausgleiches und vor Berücksichtigung des Sparer-Pauschbetrages sowie der Betrag der darauf entfallenden Zuschlagsteuern zu übermitteln;</w:t>
      </w:r>
    </w:p>
    <w:p>
      <w:pPr>
        <w:ind w:left="420"/>
      </w:pPr>
      <w:r>
        <w:t xml:space="preserve">4. die diesen Kapitalerträgen zugrunde liegende Stückzahl der Wertpapiere und</w:t>
      </w:r>
    </w:p>
    <w:p>
      <w:pPr>
        <w:ind w:left="420"/>
      </w:pPr>
      <w:r>
        <w:t xml:space="preserve">5. die Bezeichnung und die Internationale Wertpapierkennnummer der Wertpapiergattung.</w:t>
      </w:r>
    </w:p>
    <w:p>
      <w:r>
        <w:t xml:space="preserve">2Satz 1 gilt entsprechend für die Summe der gutgeschriebenen Kapitalerträge, bei denen ein Steuerabzug nicht oder nicht in voller Höhe vorgenommen wurde. 3Die Rechtsgrundlage für die Abstandnahme vom Steuerabzug und die darauf entfallenden Beträge sind anzugeben.</w:t>
      </w:r>
    </w:p>
    <w:p>
      <w:r>
        <w:t xml:space="preserve">(2) 1Die inländische Wertpapiersammelbank hat dem Bundeszentralamt für Steuern bis zum 31. Juli des auf den Zufluss der Kapitalerträge folgenden Kalenderjahres folgende Daten je Wertpapiergattung und Kundendepot unter Angabe der Internationalen Wertpapierkennnummer und der Stückzahl der Wertpapiere zu übermitteln:</w:t>
      </w:r>
    </w:p>
    <w:p>
      <w:pPr>
        <w:ind w:left="420"/>
      </w:pPr>
      <w:r>
        <w:t xml:space="preserve">1. die in § 45b Absatz 2 Nummer 1 genannten Angaben zum Depotinhaber; verfügt der Depotinhaber nicht über eine inländische Steuernummer, so ist die durch seinen Ansässigkeitsstaat vergebene Steueridentifikationsnummer anzugeben;</w:t>
      </w:r>
    </w:p>
    <w:p>
      <w:pPr>
        <w:ind w:left="420"/>
      </w:pPr>
      <w:r>
        <w:t xml:space="preserve">2. die Konto- oder Depotnummer;</w:t>
      </w:r>
    </w:p>
    <w:p>
      <w:pPr>
        <w:ind w:left="420"/>
      </w:pPr>
      <w:r>
        <w:t xml:space="preserve">3. die Summe der in einem Kalenderjahr am Zahlungstag gutgeschriebenen Kapitalerträge im Sinne des § 43 Absatz 1 Satz 1 Nummer 1a und 2 Satz 4, die auf Grund eines gebuchten Bestandes am Dividendenstichtag gutgeschrieben wurden;</w:t>
      </w:r>
    </w:p>
    <w:p>
      <w:pPr>
        <w:ind w:left="420"/>
      </w:pPr>
      <w:r>
        <w:t xml:space="preserve">4. die Summe der in einem Kalenderjahr gutgeschriebenen Kompensationszahlungen;</w:t>
      </w:r>
    </w:p>
    <w:p>
      <w:pPr>
        <w:ind w:left="420"/>
      </w:pPr>
      <w:r>
        <w:t xml:space="preserve">5. die Summe der in einem Kalenderjahr belasteten Kompensationszahlungen;</w:t>
      </w:r>
    </w:p>
    <w:p>
      <w:pPr>
        <w:ind w:left="420"/>
      </w:pPr>
      <w:r>
        <w:t xml:space="preserve">6. den Saldo aus der Summe der gutgeschriebenen Kapitalerträge zuzüglich der Summe der gutgeschriebenen Kompensationszahlungen und der Summe der belasteten Kompensationszahlungen;</w:t>
      </w:r>
    </w:p>
    <w:p>
      <w:pPr>
        <w:ind w:left="420"/>
      </w:pPr>
      <w:r>
        <w:t xml:space="preserve">7. den Betrag der einbehaltenen und abgeführten Kapitalertragsteuer und den Betrag der einbehaltenen und abgeführten Zuschlagsteuern auf die Beträge nach den Nummern 3 und 4;</w:t>
      </w:r>
    </w:p>
    <w:p>
      <w:pPr>
        <w:ind w:left="420"/>
      </w:pPr>
      <w:r>
        <w:t xml:space="preserve">8. die Stückzahl der Wertpapiere, für die die Wertpapiersammelbank keine Dividendenregulierung vorgenommen hat.</w:t>
      </w:r>
    </w:p>
    <w:p>
      <w:r>
        <w:t xml:space="preserve">2Die Pflicht zur Datenübermittlung nach Satz 1 mit Ausnahme der Angabe nach Satz 1 Nummer 8 gilt entsprechend für die die Kapitalerträge auszahlenden Stellen nach § 44 Absatz 1 Satz 4 Nummer 3. 3Dem Bundeszentralamt für Steuern sind bis zum 31. Juli des auf die Abführung des Steuerbetrages folgenden Kalenderjahres der Betrag der nach § 44 Absatz 1a abgeführten Kapitalertragsteuer sowie die nach § 45a Absatz 2 Satz 1 Nummer 3 bescheinigten Angaben zu übermitteln.</w:t>
      </w:r>
    </w:p>
    <w:p>
      <w:r>
        <w:t xml:space="preserve">(3) 1§ 93c der Abgabenordnung ist mit Ausnahme von dessen Absatz 1 Nummer 2 Buchstabe c und d und Nummer 3 entsprechend anzuwenden. 2§ 45b Absatz 8 gilt entsprechend.</w:t>
      </w:r>
    </w:p>
    <w:p>
      <w:r>
        <w:t xml:space="preserve">(4) 1Das Bundeszentralamt für Steuern speichert die ihm nach den Absätzen 1 und 2 übermittelten Daten zur Ermittlung der auf diese Kapitalerträge einbehaltenen und bescheinigten Kapitalertragsteuer und analysiert diese im Hinblick auf missbräuchliche Steuergestaltungsmodelle, die die Erlangung eines Steuervorteils aus der Erhebung oder Entlastung von Kapitalertragsteuer mit erheblicher Bedeutung zum Gegenstand haben. 2Es darf dazu ihm nach Maßgabe der Absätze 1 und 2 übermittelte personenbezogene Daten verarbeiten, soweit dies zur Erfüllung der Aufgabe nach Satz 1 erforderlich ist.</w:t>
      </w:r>
    </w:p>
    <w:p>
      <w:r>
        <w:rPr>
          <w:color w:val="555555"/>
          <w:sz w:val="17"/>
        </w:rPr>
        <w:t xml:space="preserve">Zitiervorschlag: § 45c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