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EStG — Bemessung der Kapitalertragsteuer</w:t>
      </w:r>
    </w:p>
    <w:p>
      <w:r>
        <w:rPr>
          <w:color w:val="555555"/>
          <w:sz w:val="18"/>
        </w:rPr>
        <w:t xml:space="preserve">Einkommensteuergesetz</w:t>
      </w:r>
    </w:p>
    <w:p>
      <w:r>
        <w:rPr>
          <w:color w:val="555555"/>
          <w:sz w:val="18"/>
        </w:rPr>
        <w:t xml:space="preserve">Stand: 26.06.2021 (konsolidierte Textfassung, kein amtliches Inkrafttretensdatum)</w:t>
      </w:r>
    </w:p>
    <w:p>
      <w:r>
        <w:t xml:space="preserve">(1) 1Die Kapitalertragsteuer beträgt</w:t>
      </w:r>
    </w:p>
    <w:p>
      <w:pPr>
        <w:ind w:left="420"/>
      </w:pPr>
      <w:r>
        <w:t xml:space="preserve">1. in den Fällen des § 43 Absatz 1 Satz 1 Nummer 1 bis 7a und 8 bis 12 sowie Satz 2:25 Prozent des Kapitalertrags;</w:t>
      </w:r>
    </w:p>
    <w:p>
      <w:pPr>
        <w:ind w:left="420"/>
      </w:pPr>
      <w:r>
        <w:t xml:space="preserve">2. in den Fällen des § 43 Absatz 1 Satz 1 Nummer 7b und 7c:15 Prozent des Kapitalertrags.</w:t>
      </w:r>
    </w:p>
    <w:p>
      <w:r>
        <w:t xml:space="preserve">2Im Fall einer Kirchensteuerpflicht ermäßigt sich die Kapitalertragsteuer um 25 Prozent der auf die Kapitalerträge entfallenden Kirchensteuer. 3§ 32d Absatz 1 Satz 4 und 5 gilt entsprechend.</w:t>
      </w:r>
    </w:p>
    <w:p>
      <w:r>
        <w:t xml:space="preserve">(2) 1Dem Steuerabzug unterliegen die vollen Kapitalerträge ohne Abzug; dies gilt nicht für Erträge aus Investmentfonds nach § 16 Absatz 1 des Investmentsteuergesetzes, auf die nach § 20 des Investmentsteuergesetzes eine Teilfreistellung anzuwenden ist; § 20 Absatz 1 Satz 2 bis 4 des Investmentsteuergesetzes sind beim Steuerabzug nicht anzuwenden. 2In den Fällen des § 43 Absatz 1 Satz 1 Nummer 9 bis 12 bemisst sich der Steuerabzug</w:t>
      </w:r>
    </w:p>
    <w:p>
      <w:pPr>
        <w:ind w:left="420"/>
      </w:pPr>
      <w:r>
        <w:t xml:space="preserve">1. bei Gewinnen aus der Veräußerung von Anteilen an Investmentfonds im Sinne des § 16 Absatz 1 Nummer 3 in Verbindung mit § 2 Absatz 13 des Investmentsteuergesetzes nach § 19 des Investmentsteuergesetzes und</w:t>
      </w:r>
    </w:p>
    <w:p>
      <w:pPr>
        <w:ind w:left="420"/>
      </w:pPr>
      <w:r>
        <w:t xml:space="preserve">2. in allen übrigen Fällen nach § 20 Absatz 4 und 4a,</w:t>
      </w:r>
    </w:p>
    <w:p>
      <w:r>
        <w:t xml:space="preserve">wenn die Wirtschaftsgüter von der die Kapitalerträge auszahlenden Stelle erworben oder veräußert und seitdem verwahrt oder verwaltet worden sind. 3Überträgt der Steuerpflichtige die Wirtschaftsgüter auf ein anderes Depot, hat die abgebende inländische auszahlende Stelle der übernehmenden inländischen auszahlenden Stelle die Anschaffungsdaten mitzuteilen. 4Satz 3 gilt in den Fällen des § 43 Absatz 1 Satz 5 entsprechend. 5Handelt es sich bei der abgebenden auszahlenden Stelle um ein Kreditinstitut, ein Finanzdienstleistungsinstitut oder ein Wertpapierinstitut mit Sitz in einem anderen Mitgliedstaat der Europäischen Union, in einem anderen Vertragsstaat des EWR-Abkommens vom 3. Januar 1994 (ABl. EG Nr. L 1 S. 3) in der jeweils geltenden Fassung oder in einem anderen Vertragsstaat nach Artikel 17 Absatz 2 Ziffer i der Richtlinie 2003/48/EG vom 3. Juni 2003 im Bereich der Besteuerung von Zinserträgen (ABl. EU Nr. L 157 S. 38), kann der Steuerpflichtige den Nachweis nur durch eine Bescheinigung des ausländischen Instituts führen; dies gilt entsprechend für eine in diesem Gebiet belegene Zweigstelle eines inländischen Kreditinstituts, Finanzdienstleistungsinstituts oder einem inländischen Wertpapierinstitut. 6In allen anderen Fällen ist ein Nachweis der Anschaffungsdaten nicht zulässig. 7Sind die Anschaffungsdaten nicht nachgewiesen, bemisst sich der Steuerabzug nach 30 Prozent der Einnahmen aus der Veräußerung oder Einlösung der Wirtschaftsgüter. 8In den Fällen des § 43 Absatz 1 Satz 4 gelten der Börsenpreis zum Zeitpunkt der Übertragung zuzüglich Stückzinsen als Einnahmen aus der Veräußerung und die mit dem Depotübertrag verbundenen Kosten als Veräußerungskosten im Sinne des § 20 Absatz 4 Satz 1. 9Zur Ermittlung des Börsenpreises ist der niedrigste am Vortag der Übertragung im regulierten Markt notierte Kurs anzusetzen; liegt am Vortag eine Notierung nicht vor, so werden die Wirtschaftsgüter mit dem letzten innerhalb von 30 Tagen vor dem Übertragungstag im regulierten Markt notierten Kurs angesetzt; Entsprechendes gilt für Wertpapiere, die im Inland in den Freiverkehr einbezogen sind oder in einem anderen Staat des Europäischen Wirtschaftsraums zum Handel an einem geregelten Markt im Sinne des Artikels 1 Nummer 13 der Richtlinie 93/22/EWG des Rates vom 10. Mai 1993 über Wertpapierdienstleistungen (ABl. EG Nr. L 141 S. 27) zugelassen sind. 10Liegt ein Börsenpreis nicht vor, bemisst sich die Steuer nach 30 Prozent der Anschaffungskosten. 11Die übernehmende auszahlende Stelle hat als Anschaffungskosten den von der abgebenden Stelle angesetzten Börsenpreis anzusetzen und die bei der Übertragung als Einnahmen aus der Veräußerung angesetzten Stückzinsen nach Absatz 3 zu berücksichtigen. 12Satz 9 gilt entsprechend. 13Liegt ein Börsenpreis nicht vor, bemisst sich der Steuerabzug nach 30 Prozent der Einnahmen aus der Veräußerung oder Einlösung der Wirtschaftsgüter. 14Hat die auszahlende Stelle die Wirtschaftsgüter vor dem 1. Januar 1994 erworben oder veräußert und seitdem verwahrt oder verwaltet, kann sie den Steuerabzug nach 30 Prozent der Einnahmen aus der Veräußerung oder Einlösung der Wertpapiere und Kapitalforderungen bemessen. 15Abweichend von den Sätzen 2 bis 14 bemisst sich der Steuerabzug bei Kapitalerträgen aus nicht für einen marktmäßigen Handel bestimmten schuldbuchfähigen Wertpapieren des Bundes und der Länder oder bei Kapitalerträgen im Sinne des § 43 Absatz 1 Satz 1 Nummer 7 Buchstabe b aus nicht in Inhaber- oder Orderschuldverschreibungen verbrieften Kapitalforderungen nach dem vollen Kapitalertrag ohne jeden Abzug.</w:t>
      </w:r>
    </w:p>
    <w:p>
      <w:r>
        <w:t xml:space="preserve">(3) 1Die auszahlende Stelle hat ausländische Steuern auf Kapitalerträge nach Maßgabe des § 32d Absatz 5 zu berücksichtigen. 2Sie hat unter Berücksichtigung des § 20 Absatz 6 Satz 4 im Kalenderjahr negative Kapitalerträge einschließlich gezahlter Stückzinsen bis zur Höhe der positiven Kapitalerträge auszugleichen; liegt ein gemeinsamer Freistellungsauftrag im Sinne des § 44a Absatz 2 Satz 1 Nummer 1 in Verbindung mit § 20 Absatz 9 Satz 2 vor, erfolgt ein gemeinsamer Ausgleich. 3Der nicht ausgeglichene Verlust ist auf das nächste Kalenderjahr zu übertragen. 4Auf Verlangen des Gläubigers der Kapitalerträge hat sie über die Höhe eines nicht ausgeglichenen Verlusts eine Bescheinigung nach amtlich vorgeschriebenem Muster zu erteilen; der Verlustübertrag entfällt in diesem Fall. 5Der unwiderrufliche Antrag auf Erteilung der Bescheinigung muss bis zum 15. Dezember des laufenden Jahres der auszahlenden Stelle zugehen. 6Überträgt der Gläubiger der Kapitalerträge seine im Depot befindlichen Wirtschaftsgüter vollständig auf ein anderes Depot, hat die abgebende auszahlende Stelle der übernehmenden auszahlenden Stelle auf Verlangen des Gläubigers der Kapitalerträge die Höhe des nicht ausgeglichenen Verlusts mitzuteilen; eine Bescheinigung nach Satz 4 darf in diesem Fall nicht erteilt werden. 7Erfährt die auszahlende Stelle nach Ablauf des Kalenderjahres von der Veränderung einer Bemessungsgrundlage oder einer zu erhebenden Kapitalertragsteuer, hat sie die entsprechende Korrektur erst zum Zeitpunkt ihrer Kenntnisnahme vorzunehmen; § 44 Absatz 5 bleibt unberührt. 8Die vorstehenden Sätze gelten nicht in den Fällen des § 20 Absatz 8 und des § 44 Absatz 1 Satz 4 Nummer 1 Buchstabe a Doppelbuchstabe bb sowie bei Körperschaften, Personenvereinigungen oder Vermögensmassen.</w:t>
      </w:r>
    </w:p>
    <w:p>
      <w:r>
        <w:t xml:space="preserve">(4) 1Die Absätze 2 und 3 gelten entsprechend für die das Bundesschuldbuch führende Stelle oder eine Landesschuldenverwaltung als auszahlende Stelle. 2Werden die Wertpapiere oder Forderungen von einem Kreditinstitut, Finanzdienstleistungsinstitut oder einem Wertpapierinstitut mit der Maßgabe der Verwahrung und Verwaltung durch die das Bundesschuldbuch führende Stelle oder eine Landesschuldenverwaltung erworben, hat das Kreditinstitut, das Finanzdienstleistungsinstitut oder das Wertpapierinstitut der das Bundesschuldbuch führenden Stelle oder einer Landesschuldenverwaltung zusammen mit den im Schuldbuch einzutragenden Wertpapieren und Forderungen den Erwerbszeitpunkt und die Anschaffungsdaten sowie in Fällen des Absatzes 2 den Erwerbspreis der für einen marktmäßigen Handel bestimmten schuldbuchfähigen Wertpapiere des Bundes oder der Länder und außerdem mitzuteilen, dass es diese Wertpapiere und Forderungen erworben oder veräußert und seitdem verwahrt oder verwaltet hat.</w:t>
      </w:r>
    </w:p>
    <w:p>
      <w:r>
        <w:rPr>
          <w:color w:val="555555"/>
          <w:sz w:val="17"/>
        </w:rPr>
        <w:t xml:space="preserve">Zitiervorschlag: § 43a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