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EStG — Gewinnbegriff im Allgemeinen</w:t>
      </w:r>
    </w:p>
    <w:p>
      <w:r>
        <w:rPr>
          <w:color w:val="555555"/>
          <w:sz w:val="18"/>
        </w:rPr>
        <w:t xml:space="preserve">Einkommensteuergesetz</w:t>
      </w:r>
    </w:p>
    <w:p>
      <w:r>
        <w:rPr>
          <w:color w:val="555555"/>
          <w:sz w:val="18"/>
        </w:rPr>
        <w:t xml:space="preserve">Stand: 07.01.2026 (konsolidierte Textfassung, kein amtliches Inkrafttretensdatum)</w:t>
      </w:r>
    </w:p>
    <w:p>
      <w:r>
        <w:t xml:space="preserve">(1) 1Gewinn ist der Unterschiedsbetrag zwischen dem Betriebsvermögen am Schluss des Wirtschaftsjahres und dem Betriebsvermögen am Schluss des vorangegangenen Wirtschaftsjahres, vermehrt um den Wert der Entnahmen und vermindert um den Wert der Einlagen. 2Entnahmen sind alle Wirtschaftsgüter (Barentnahmen, Waren, Erzeugnisse, Nutzungen und Leistungen), die der Steuerpflichtige dem Betrieb für sich, für seinen Haushalt oder für andere betriebsfremde Zwecke im Laufe des Wirtschaftsjahres entnommen hat. 3Einer Entnahme für betriebsfremde Zwecke steht der Ausschluss oder die Beschränkung des Besteuerungsrechts der Bundesrepublik Deutschland hinsichtlich des Gewinns aus der Veräußerung oder der Nutzung eines Wirtschaftsguts gleich; dies gilt auf Antrag auch in den Fällen, in denen die Beschränkung des Besteuerungsrechts der Bundesrepublik Deutschland hinsichtlich des Gewinns aus der Veräußerung eines Wirtschaftsguts entfällt und in einem anderen Staat eine Besteuerung auf Grund des Ausschlusses oder der Beschränkung des Besteuerungsrechts dieses Staates hinsichtlich des Gewinns aus der Veräußerung des Wirtschaftsguts erfolgt. 4Ein Ausschluss oder eine Beschränkung des Besteuerungsrechts hinsichtlich des Gewinns aus der Veräußerung eines Wirtschaftsguts liegt insbesondere vor, wenn ein bisher einer inländischen Betriebsstätte des Steuerpflichtigen zuzuordnendes Wirtschaftsgut einer ausländischen Betriebsstätte zuzuordnen ist. 5Satz 3 gilt nicht für Anteile an einer Europäischen Gesellschaft oder Europäischen Genossenschaft in den Fällen</w:t>
      </w:r>
    </w:p>
    <w:p>
      <w:pPr>
        <w:ind w:left="420"/>
      </w:pPr>
      <w:r>
        <w:t xml:space="preserve">1. einer Sitzverlegung der Europäischen Gesellschaft nach Artikel 8 der Verordnung (EG) Nr. 2157/2001 des Rates vom 8. Oktober 2001 über das Statut der Europäischen Gesellschaft (SE) (ABl. EG Nr. L 294 S. 1), zuletzt geändert durch die Verordnung (EG) Nr. 885/2004 des Rates vom 26. April 2004 (ABl. EU Nr. L 168 S. 1), und</w:t>
      </w:r>
    </w:p>
    <w:p>
      <w:pPr>
        <w:ind w:left="420"/>
      </w:pPr>
      <w:r>
        <w:t xml:space="preserve">2. einer Sitzverlegung der Europäischen Genossenschaft nach Artikel 7 der Verordnung (EG) Nr. 1435/2003 des Rates vom 22. Juli 2003 über das Statut der Europäischen Genossenschaft (SCE) (ABl. EU Nr. L 207 S. 1).</w:t>
      </w:r>
    </w:p>
    <w:p>
      <w:r>
        <w:t xml:space="preserve">6Ein Wirtschaftsgut wird nicht dadurch entnommen, dass der Steuerpflichtige zur Gewinnermittlung nach § 13a übergeht. 7Eine Änderung der Nutzung eines Wirtschaftsguts, die bei Gewinnermittlung nach Satz 1 keine Entnahme ist, ist auch bei Gewinnermittlung nach § 13a keine Entnahme. 8Einlagen sind alle Wirtschaftsgüter (Bareinzahlungen und sonstige Wirtschaftsgüter), die der Steuerpflichtige dem Betrieb im Laufe des Wirtschaftsjahres zugeführt hat; einer Einlage steht die Begründung des Besteuerungsrechts der Bundesrepublik Deutschland hinsichtlich des Gewinns aus der Veräußerung eines Wirtschaftsguts gleich. 9In den Fällen des Satzes 3 zweiter Halbsatz gilt das Wirtschaftsgut als unmittelbar nach der Entnahme wieder eingelegt. 10Bei der Ermittlung des Gewinns sind die Vorschriften über die Betriebsausgaben, über die Bewertung und über die Absetzung für Abnutzung oder Substanzverringerung zu befolgen.</w:t>
      </w:r>
    </w:p>
    <w:p>
      <w:r>
        <w:t xml:space="preserve">(2) 1Der Steuerpflichtige darf die Vermögensübersicht (Bilanz) auch nach ihrer Einreichung beim Finanzamt ändern, soweit sie den Grundsätzen ordnungsmäßiger Buchführung unter Befolgung der Vorschriften dieses Gesetzes nicht entspricht; diese Änderung ist nicht zulässig, wenn die Vermögensübersicht (Bilanz) einer Steuerfestsetzung zugrunde liegt, die nicht mehr aufgehoben oder geändert werden kann. 2Darüber hinaus ist eine Änderung der Vermögensübersicht (Bilanz) nur zulässig, wenn sie in einem engen zeitlichen und sachlichen Zusammenhang mit einer Änderung nach Satz 1 steht und soweit die Auswirkung der Änderung nach Satz 1 auf den Gewinn reicht.</w:t>
      </w:r>
    </w:p>
    <w:p>
      <w:r>
        <w:t xml:space="preserve">(3) 1Steuerpflichtige, die nicht auf Grund gesetzlicher Vorschriften verpflichtet sind, Bücher zu führen und regelmäßig Abschlüsse zu machen, und die auch keine Bücher führen und keine Abschlüsse machen, können als Gewinn den Überschuss der Betriebseinnahmen über die Betriebsausgaben ansetzen. 2Hierbei scheiden Betriebseinnahmen und Betriebsausgaben aus, die im Namen und für Rechnung eines anderen vereinnahmt und verausgabt werden (durchlaufende Posten). 3Die Vorschriften über die Bewertungsfreiheit für geringwertige Wirtschaftsgüter (§ 6 Absatz 2), die Bildung eines Sammelpostens (§ 6 Absatz 2a) und über die Absetzung für Abnutzung oder Substanzverringerung sind zu befolgen. 4Die Anschaffungs- oder Herstellungskosten für nicht abnutzbare Wirtschaftsgüter des Anlagevermögens, für Anteile an Kapitalgesellschaften, für Wertpapiere und vergleichbare nicht verbriefte Forderungen und Rechte, für Grund und Boden sowie Gebäude des Umlaufvermögens sind erst im Zeitpunkt des Zuflusses des Veräußerungserlöses oder bei Entnahme im Zeitpunkt der Entnahme als Betriebsausgaben zu berücksichtigen. 5Die Wirtschaftsgüter des Anlagevermögens und Wirtschaftsgüter des Umlaufvermögens im Sinne des Satzes 4 sind unter Angabe des Tages der Anschaffung oder Herstellung und der Anschaffungs- oder Herstellungskosten oder des an deren Stelle getretenen Werts in besondere, laufend zu führende Verzeichnisse aufzunehmen.</w:t>
      </w:r>
    </w:p>
    <w:p>
      <w:r>
        <w:t xml:space="preserve">(4) Betriebsausgaben sind die Aufwendungen, die durch den Betrieb veranlasst sind.</w:t>
      </w:r>
    </w:p>
    <w:p>
      <w:r>
        <w:t xml:space="preserve">(4a) 1Schuldzinsen sind nach Maßgabe der Sätze 2 bis 4 nicht abziehbar, wenn Überentnahmen getätigt worden sind. 2Eine Überentnahme ist der Betrag, um den die Entnahmen die Summe des Gewinns und der Einlagen des Wirtschaftsjahres übersteigen. 3Die nicht abziehbaren Schuldzinsen werden typisiert mit 6 Prozent der Überentnahme des Wirtschaftsjahres zuzüglich der Überentnahmen vorangegangener Wirtschaftsjahre und abzüglich der Beträge, um die in den vorangegangenen Wirtschaftsjahren der Gewinn und die Einlagen die Entnahmen überstiegen haben (Unterentnahmen), ermittelt; bei der Ermittlung der Überentnahme ist vom Gewinn ohne Berücksichtigung der nach Maßgabe dieses Absatzes nicht abziehbaren Schuldzinsen auszugehen. 4Der sich dabei ergebende Betrag, höchstens jedoch der um 2 050 Euro verminderte Betrag der im Wirtschaftsjahr angefallenen Schuldzinsen, ist dem Gewinn hinzuzurechnen. 5Der Abzug von Schuldzinsen für Darlehen zur Finanzierung von Anschaffungs- oder Herstellungskosten von Wirtschaftsgütern des Anlagevermögens bleibt unberührt. 6Die Sätze 1 bis 5 sind bei Gewinnermittlung nach § 4 Absatz 3 sinngemäß anzuwenden; hierzu sind Entnahmen und Einlagen gesondert aufzuzeichnen.</w:t>
      </w:r>
    </w:p>
    <w:p>
      <w:r>
        <w:t xml:space="preserve">(5) 1Die folgenden Betriebsausgaben dürfen den Gewinn nicht mindern:</w:t>
      </w:r>
    </w:p>
    <w:p>
      <w:pPr>
        <w:ind w:left="420"/>
      </w:pPr>
      <w:r>
        <w:t xml:space="preserve">1. Aufwendungen für Geschenke an Personen, die nicht Arbeitnehmer des Steuerpflichtigen sind. 2Satz 1 gilt nicht, wenn die Anschaffungs- oder Herstellungskosten der dem Empfänger im Wirtschaftsjahr zugewendeten Gegenstände insgesamt 50 Euro nicht übersteigen;</w:t>
      </w:r>
    </w:p>
    <w:p>
      <w:pPr>
        <w:ind w:left="420"/>
      </w:pPr>
      <w:r>
        <w:t xml:space="preserve">2. Aufwendungen für die Bewirtung von Personen aus geschäftlichem Anlass, soweit sie 70 Prozent der Aufwendungen übersteigen, die nach der allgemeinen Verkehrsauffassung als angemessen anzusehen und deren Höhe und betriebliche Veranlassung nachgewiesen sind. 2Zum Nachweis der Höhe und der betrieblichen Veranlassung der Aufwendungen hat der Steuerpflichtige schriftlich die folgenden Angaben zu machen: Ort, Tag, Teilnehmer und Anlass der Bewirtung sowie Höhe der Aufwendungen. 3Hat die Bewirtung in einer Gaststätte stattgefunden, so genügen Angaben zu dem Anlass und den Teilnehmern der Bewirtung; die Rechnung über die Bewirtung ist beizufügen;</w:t>
      </w:r>
    </w:p>
    <w:p>
      <w:pPr>
        <w:ind w:left="420"/>
      </w:pPr>
      <w:r>
        <w:t xml:space="preserve">3. Aufwendungen für Einrichtungen des Steuerpflichtigen, soweit sie der Bewirtung, Beherbergung oder Unterhaltung von Personen, die nicht Arbeitnehmer des Steuerpflichtigen sind, dienen (Gästehäuser) und sich außerhalb des Orts eines Betriebs des Steuerpflichtigen befinden;</w:t>
      </w:r>
    </w:p>
    <w:p>
      <w:pPr>
        <w:ind w:left="420"/>
      </w:pPr>
      <w:r>
        <w:t xml:space="preserve">4. Aufwendungen für Jagd oder Fischerei, für Segeljachten oder Motorjachten sowie für ähnliche Zwecke und für die hiermit zusammenhängenden Bewirtungen;</w:t>
      </w:r>
    </w:p>
    <w:p>
      <w:pPr>
        <w:ind w:left="420"/>
      </w:pPr>
      <w:r>
        <w:t xml:space="preserve">5. Mehraufwendungen für die Verpflegung des Steuerpflichtigen. 2Wird der Steuerpflichtige vorübergehend von seiner Wohnung und dem Mittelpunkt seiner dauerhaft angelegten betrieblichen Tätigkeit entfernt betrieblich tätig, sind die Mehraufwendungen für Verpflegung nach Maßgabe des § 9 Absatz 4a abziehbar;</w:t>
      </w:r>
    </w:p>
    <w:p>
      <w:pPr>
        <w:ind w:left="420"/>
      </w:pPr>
      <w:r>
        <w:t xml:space="preserve">6. Aufwendungen für die Wege des Steuerpflichtigen zwischen Wohnung und Betriebsstätte und für Familienheimfahrten, soweit in den folgenden Sätzen nichts anderes bestimmt ist. 2Zur Abgeltung dieser Aufwendungen ist § 9 Absatz 1 Satz 3 Nummer 4 Satz 2 bis 6 und Nummer 5 Satz 5 bis 7 und Absatz 2 entsprechend anzuwenden. 3 Bei der Nutzung eines Kraftfahrzeugs dürfen die Aufwendungen in Höhe des positiven Unterschiedsbetrags zwischen 0,03 Prozent des inländischen Listenpreises im Sinne des § 6 Absatz 1 Nummer 4 Satz 2 des Kraftfahrzeugs im Zeitpunkt der Erstzulassung je Kalendermonat für jeden Entfernungskilometer und dem sich nach § 9 Absatz 1 Satz 3 Nummer 4 Satz 2 bis 6 oder Absatz 2 ergebenden Betrag sowie Aufwendungen für Familienheimfahrten in Höhe des positiven Unterschiedsbetrags zwischen 0,002 Prozent des inländischen Listenpreises im Sinne des § 6 Absatz 1 Nummer 4 Satz 2 für jeden Entfernungskilometer und dem sich nach § 9 Absatz 1 Satz 3 Nummer 5 Satz 5 bis 7 oder Absatz 2 ergebenden Betrag den Gewinn nicht mindern; ermittelt der Steuerpflichtige die private Nutzung des Kraftfahrzeugs nach § 6 Absatz 1 Nummer 4 Satz 1 oder Satz 3, treten an die Stelle des mit 0,03 oder 0,002 Prozent des inländischen Listenpreises ermittelten Betrags für Fahrten zwischen Wohnung und Betriebsstätte und für Familienheimfahrten die auf diese Fahrten entfallenden tatsächlichen Aufwendungen; § 6 Absatz 1 Nummer 4 Satz 3 zweiter Halbsatz gilt sinngemäß;</w:t>
      </w:r>
    </w:p>
    <w:p>
      <w:pPr>
        <w:ind w:left="420"/>
      </w:pPr>
      <w:r>
        <w:t xml:space="preserve">6a. die Mehraufwendungen für eine betrieblich veranlasste doppelte Haushaltsführung, soweit sie die nach § 9 Absatz 1 Satz 3 Nummer 5 Satz 1 bis 4 abziehbaren Beträge und die Mehraufwendungen für betrieblich veranlasste Übernachtungen, soweit sie die nach § 9 Absatz 1 Satz 3 Nummer 5a abziehbaren Beträge übersteigen;</w:t>
      </w:r>
    </w:p>
    <w:p>
      <w:pPr>
        <w:ind w:left="420"/>
      </w:pPr>
      <w:r>
        <w:t xml:space="preserve">6b. Aufwendungen für ein häusliches Arbeitszimmer sowie die Kosten der Ausstattung. 2Dies gilt nicht, wenn das Arbeitszimmer den Mittelpunkt der gesamten betrieblichen und beruflichen Betätigung bildet. 3Anstelle der Aufwendungen kann pauschal ein Betrag von 1 260 Euro (Jahrespauschale) für das Wirtschafts- oder Kalenderjahr abgezogen werden. 4Für jeden vollen Kalendermonat, in dem die Voraussetzungen nach Satz 2 nicht vorliegen, ermäßigt sich der Betrag von 1 260 Euro um ein Zwölftel;</w:t>
      </w:r>
    </w:p>
    <w:p>
      <w:pPr>
        <w:ind w:left="420"/>
      </w:pPr>
      <w:r>
        <w:t xml:space="preserve">6c. für jeden Kalendertag, an dem die betriebliche oder berufliche Tätigkeit überwiegend in der häuslichen Wohnung ausgeübt und keine außerhalb der häuslichen Wohnung belegene erste Tätigkeitsstätte aufgesucht wird, kann für die gesamte betriebliche und berufliche Betätigung ein Betrag von 6 Euro (Tagespauschale), höchstens 1 260 Euro im Wirtschafts- oder Kalenderjahr, abgezogen werden. 2Steht für die betriebliche oder berufliche Tätigkeit dauerhaft kein anderer Arbeitsplatz zur Verfügung, ist ein Abzug der Tagespauschale zulässig, auch wenn die Tätigkeit am selben Kalendertag auswärts oder an der ersten Tätigkeitsstätte ausgeübt wird. 3Der Abzug der Tagespauschale ist nicht zulässig, soweit für die Wohnung Unterkunftskosten im Rahmen der Nummer 6a oder des § 9 Absatz 1 Satz 3 Nummer 5 abgezogen werden können oder soweit ein Abzug nach Nummer 6b vorgenommen wird;</w:t>
      </w:r>
    </w:p>
    <w:p>
      <w:pPr>
        <w:ind w:left="420"/>
      </w:pPr>
      <w:r>
        <w:t xml:space="preserve">7. andere als die in den Nummern 1 bis 6 und 6b bezeichneten Aufwendungen, die die Lebensführung des Steuerpflichtigen oder anderer Personen berühren, soweit sie nach allgemeiner Verkehrsauffassung als unangemessen anzusehen sind;</w:t>
      </w:r>
    </w:p>
    <w:p>
      <w:pPr>
        <w:ind w:left="420"/>
      </w:pPr>
      <w:r>
        <w:t xml:space="preserve">8. Geldbußen, Ordnungsgelder und Verwarnungsgelder, die von einem Gericht oder einer Behörde im Geltungsbereich dieses Gesetzes oder von einem Mitgliedstaat oder von Organen der Europäischen Union festgesetzt wurden sowie damit zusammenhängende Aufwendungen. 2Dasselbe gilt für Leistungen zur Erfüllung von Auflagen oder Weisungen, die in einem berufsgerichtlichen Verfahren erteilt werden, soweit die Auflagen oder Weisungen nicht lediglich der Wiedergutmachung des durch die Tat verursachten Schadens dienen. 3Die Rückzahlung von Ausgaben im Sinne der Sätze 1 und 2 darf den Gewinn nicht erhöhen. 4Das Abzugsverbot für Geldbußen gilt nicht, soweit der wirtschaftliche Vorteil, der durch den Gesetzesverstoß erlangt wurde, abgeschöpft worden ist, wenn die Steuern vom Einkommen und Ertrag, die auf den wirtschaftlichen Vorteil entfallen, nicht abgezogen worden sind; Satz 3 ist insoweit nicht anzuwenden;</w:t>
      </w:r>
    </w:p>
    <w:p>
      <w:pPr>
        <w:ind w:left="420"/>
      </w:pPr>
      <w:r>
        <w:t xml:space="preserve">8a. Zinsen auf hinterzogene Steuern nach § 235 der Abgabenordnung und Zinsen nach § 233a der Abgabenordnung, soweit diese nach § 235 Absatz 4 der Abgabenordnung auf die Hinterziehungszinsen angerechnet werden;</w:t>
      </w:r>
    </w:p>
    <w:p>
      <w:pPr>
        <w:ind w:left="420"/>
      </w:pPr>
      <w:r>
        <w:t xml:space="preserve">9. Ausgleichszahlungen, die in den Fällen der §§ 14 und 17 des Körperschaftsteuergesetzes an außenstehende Anteilseigner geleistet werden;</w:t>
      </w:r>
    </w:p>
    <w:p>
      <w:pPr>
        <w:ind w:left="420"/>
      </w:pPr>
      <w:r>
        <w:t xml:space="preserve">10. die Zuwendung von Vorteilen sowie damit zusammenhängende Aufwendungen, wenn die Zuwendung der Vorteile eine rechtswidrige Handlung darstellt, die den Tatbestand eines Strafgesetzes oder eines Gesetzes verwirklicht, das die Ahndung mit einer Geldbuße zulässt. 2Gerichte, Staatsanwaltschaften oder Verwaltungsbehörden haben Tatsachen, die sie dienstlich erfahren und die den Verdacht einer Tat im Sinne des Satzes 1 begründen, der Finanzbehörde für Zwecke des Besteuerungsverfahrens und zur Verfolgung von Steuerstraftaten und Steuerordnungswidrigkeiten mitzuteilen. 3Die Finanzbehörde teilt Tatsachen, die den Verdacht einer Straftat oder einer Ordnungswidrigkeit im Sinne des Satzes 1 begründen, der Staatsanwaltschaft oder der Verwaltungsbehörde mit. 4Diese unterrichten die Finanzbehörde von dem Ausgang des Verfahrens und den zugrundeliegenden Tatsachen;</w:t>
      </w:r>
    </w:p>
    <w:p>
      <w:pPr>
        <w:ind w:left="420"/>
      </w:pPr>
      <w:r>
        <w:t xml:space="preserve">11. Aufwendungen, die mit unmittelbaren oder mittelbaren Zuwendungen von nicht einlagefähigen Vorteilen an natürliche oder juristische Personen oder Personengesellschaften zur Verwendung in Betrieben in tatsächlichem oder wirtschaftlichem Zusammenhang stehen, deren Gewinn nach § 5a Absatz 1 ermittelt wird;</w:t>
      </w:r>
    </w:p>
    <w:p>
      <w:pPr>
        <w:ind w:left="420"/>
      </w:pPr>
      <w:r>
        <w:t xml:space="preserve">12. Zuschläge nach § 162 Absatz 4 der Abgabenordnung;</w:t>
      </w:r>
    </w:p>
    <w:p>
      <w:pPr>
        <w:ind w:left="420"/>
      </w:pPr>
      <w:r>
        <w:t xml:space="preserve">13. Jahresbeiträge nach § 12 Absatz 2 des Restrukturierungsfondsgesetzes.</w:t>
      </w:r>
    </w:p>
    <w:p>
      <w:r>
        <w:t xml:space="preserve">2Das Abzugsverbot gilt nicht, soweit die in den Nummern 2 bis 4 bezeichneten Zwecke Gegenstand einer mit Gewinnabsicht ausgeübten Betätigung des Steuerpflichtigen sind. 3§ 12 Nummer 1 bleibt unberührt.</w:t>
      </w:r>
    </w:p>
    <w:p>
      <w:r>
        <w:t xml:space="preserve">(5a) (weggefallen)</w:t>
      </w:r>
    </w:p>
    <w:p>
      <w:r>
        <w:t xml:space="preserve">(5b) Die Gewerbesteuer und die darauf entfallenden Nebenleistungen sind keine Betriebsausgaben.</w:t>
      </w:r>
    </w:p>
    <w:p>
      <w:r>
        <w:t xml:space="preserve">(6) Aufwendungen zur Förderung staatspolitischer Zwecke (§ 10b Absatz 2) sind keine Betriebsausgaben.</w:t>
      </w:r>
    </w:p>
    <w:p>
      <w:r>
        <w:t xml:space="preserve">(7) 1Aufwendungen im Sinne des Absatzes 5 Satz 1 Nummer 1 bis 4, 6b und 7 sind einzeln und getrennt von den sonstigen Betriebsausgaben aufzuzeichnen. 2Soweit diese Aufwendungen nicht bereits nach Absatz 5 vom Abzug ausgeschlossen sind, dürfen sie bei der Gewinnermittlung nur berücksichtigt werden, wenn sie nach Satz 1 besonders aufgezeichnet sind.</w:t>
      </w:r>
    </w:p>
    <w:p>
      <w:r>
        <w:t xml:space="preserve">(8) Für Erhaltungsaufwand bei Gebäuden in Sanierungsgebieten und städtebaulichen Entwicklungsbereichen sowie bei Baudenkmalen gelten die §§ 11a und 11b entsprechend.</w:t>
      </w:r>
    </w:p>
    <w:p>
      <w:r>
        <w:t xml:space="preserve">(9) 1Aufwendungen des Steuerpflichtigen für seine Berufsausbildung oder für sein Studium sind nur dann Betriebsausgaben, wenn der Steuerpflichtige zuvor bereits eine Erstausbildung (Berufsausbildung oder Studium) abgeschlossen hat. 2§ 9 Absatz 6 Satz 2 bis 5 gilt entsprechend.</w:t>
      </w:r>
    </w:p>
    <w:p>
      <w:r>
        <w:t xml:space="preserve">(10) § 9 Absatz 1 Satz 3 Nummer 5b ist entsprechend anzuwenden.</w:t>
      </w:r>
    </w:p>
    <w:p>
      <w:r>
        <w:rPr>
          <w:color w:val="555555"/>
          <w:sz w:val="17"/>
        </w:rPr>
        <w:t xml:space="preserve">Zitiervorschlag: § 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