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EStG — Sanierungserträge</w:t>
      </w:r>
    </w:p>
    <w:p>
      <w:r>
        <w:rPr>
          <w:color w:val="555555"/>
          <w:sz w:val="18"/>
        </w:rPr>
        <w:t xml:space="preserve">Einkommensteuergesetz</w:t>
      </w:r>
    </w:p>
    <w:p>
      <w:r>
        <w:rPr>
          <w:color w:val="555555"/>
          <w:sz w:val="18"/>
        </w:rPr>
        <w:t xml:space="preserve">Stand: 10.12.2024 (konsolidierte Textfassung, kein amtliches Inkrafttretensdatum)</w:t>
      </w:r>
    </w:p>
    <w:p>
      <w:r>
        <w:t xml:space="preserve">(1) 1Betriebsvermögensmehrungen oder Betriebseinnahmen aus einem Schuldenerlass zum Zwecke einer unternehmensbezogenen Sanierung im Sinne des Absatzes 2 (Sanierungsertrag) sind steuerfrei. 2Sind Betriebsvermögensmehrungen oder Betriebseinnahmen aus einem Schuldenerlass nach Satz 1 steuerfrei, sind steuerliche Wahlrechte in dem Jahr, in dem ein Sanierungsertrag erzielt wird (Sanierungsjahr) und im Folgejahr im zu sanierenden Unternehmen gewinnmindernd auszuüben. 3Insbesondere ist der niedrigere Teilwert, der nach § 6 Absatz 1 Nummer 1 Satz 2 und Nummer 2 Satz 2 angesetzt werden kann, im Sanierungsjahr und im Folgejahr anzusetzen.</w:t>
      </w:r>
    </w:p>
    <w:p>
      <w:r>
        <w:t xml:space="preserve">(2) Eine unternehmensbezogene Sanierung liegt vor, wenn der Steuerpflichtige für den Zeitpunkt des Schuldenerlasses die Sanierungsbedürftigkeit und die Sanierungsfähigkeit des Unternehmens, die Sanierungseignung des betrieblich begründeten Schuldenerlasses und die Sanierungsabsicht der Gläubiger nachweist.</w:t>
      </w:r>
    </w:p>
    <w:p>
      <w:r>
        <w:t xml:space="preserve">(3) 1Nicht abziehbare Beträge im Sinne des § 3c Absatz 4, die in Veranlagungszeiträumen vor dem Sanierungsjahr und im Sanierungsjahr anzusetzen sind, mindern den Sanierungsertrag. 2Dieser Betrag mindert nacheinander</w:t>
      </w:r>
    </w:p>
    <w:p>
      <w:pPr>
        <w:ind w:left="420"/>
      </w:pPr>
      <w:r>
        <w:t xml:space="preserve">1. den auf Grund einer Verpflichtungsübertragung im Sinne des § 4f Absatz 1 Satz 1 in den dem Wirtschaftsjahr der Übertragung nachfolgenden 14 Jahren verteilt abziehbaren Aufwand des zu sanierenden Unternehmens, es sei denn, der Aufwand ist gemäß § 4f Absatz 1 Satz 7 auf einen Rechtsnachfolger übergegangen, der die Verpflichtung übernommen hat und insoweit der Regelung des § 5 Absatz 7 unterliegt. 2Entsprechendes gilt in Fällen des § 4f Absatz 2;</w:t>
      </w:r>
    </w:p>
    <w:p>
      <w:pPr>
        <w:ind w:left="420"/>
      </w:pPr>
      <w:r>
        <w:t xml:space="preserve">2. den nach § 15a ausgleichsfähigen oder verrechenbaren Verlust des Unternehmers (Mitunternehmers) des zu sanierenden Unternehmens des Sanierungsjahrs;</w:t>
      </w:r>
    </w:p>
    <w:p>
      <w:pPr>
        <w:ind w:left="420"/>
      </w:pPr>
      <w:r>
        <w:t xml:space="preserve">3. den zum Ende des dem Sanierungsjahr vorangegangenen Wirtschaftsjahrs nach § 15a festgestellten verrechenbaren Verlust des Unternehmers (Mitunternehmers) des zu sanierenden Unternehmens;</w:t>
      </w:r>
    </w:p>
    <w:p>
      <w:pPr>
        <w:ind w:left="420"/>
      </w:pPr>
      <w:r>
        <w:t xml:space="preserve">4. den nach § 15b ausgleichsfähigen oder verrechenbaren Verlust derselben Einkunftsquelle des Unternehmers (Mitunternehmers) des Sanierungsjahrs; bei der Verlustermittlung bleibt der Sanierungsertrag unberücksichtigt;</w:t>
      </w:r>
    </w:p>
    <w:p>
      <w:pPr>
        <w:ind w:left="420"/>
      </w:pPr>
      <w:r>
        <w:t xml:space="preserve">5. den zum Ende des dem Sanierungsjahr vorangegangenen Jahrs nach § 15b festgestellten verrechenbaren Verlust derselben Einkunftsquelle des Unternehmers (Mitunternehmers);</w:t>
      </w:r>
    </w:p>
    <w:p>
      <w:pPr>
        <w:ind w:left="420"/>
      </w:pPr>
      <w:r>
        <w:t xml:space="preserve">6. den nach § 15 Absatz 4 ausgleichsfähigen oder nicht abziehbaren Verlust des zu sanierenden Unternehmens des Sanierungsjahrs;</w:t>
      </w:r>
    </w:p>
    <w:p>
      <w:pPr>
        <w:ind w:left="420"/>
      </w:pPr>
      <w:r>
        <w:t xml:space="preserve">7. den zum Ende des dem Sanierungsjahr vorangegangenen Jahrs nach § 15 Absatz 4 festgestellten in Verbindung mit § 10d Absatz 4 verbleibenden Verlustvortrag, soweit er auf das zu sanierende Unternehmen entfällt;</w:t>
      </w:r>
    </w:p>
    <w:p>
      <w:pPr>
        <w:ind w:left="420"/>
      </w:pPr>
      <w:r>
        <w:t xml:space="preserve">8. den Verlust des Sanierungsjahrs des zu sanierenden Unternehmens;</w:t>
      </w:r>
    </w:p>
    <w:p>
      <w:pPr>
        <w:ind w:left="420"/>
      </w:pPr>
      <w:r>
        <w:t xml:space="preserve">9. den ausgleichsfähigen Verlust aus allen Einkunftsarten des Veranlagungszeitraums, in dem das Sanierungsjahr endet;</w:t>
      </w:r>
    </w:p>
    <w:p>
      <w:pPr>
        <w:ind w:left="420"/>
      </w:pPr>
      <w:r>
        <w:t xml:space="preserve">10. im Sanierungsjahr ungeachtet des § 10d Absatz 2 den nach § 10d Absatz 4 zum Ende des Vorjahrs gesondert festgestellten Verlustvortrag;</w:t>
      </w:r>
    </w:p>
    <w:p>
      <w:pPr>
        <w:ind w:left="420"/>
      </w:pPr>
      <w:r>
        <w:t xml:space="preserve">11. in der nachfolgenden Reihenfolge den zum Ende des Vorjahrs festgestellten und den im Sanierungsjahr entstehenden verrechenbaren Verlust oder die negativen Einkünfte</w:t>
      </w:r>
    </w:p>
    <w:p>
      <w:pPr>
        <w:ind w:left="780"/>
      </w:pPr>
      <w:r>
        <w:t xml:space="preserve">a) nach § 15a,</w:t>
      </w:r>
    </w:p>
    <w:p>
      <w:pPr>
        <w:ind w:left="780"/>
      </w:pPr>
      <w:r>
        <w:t xml:space="preserve">b) nach § 15b anderer Einkunftsquellen,</w:t>
      </w:r>
    </w:p>
    <w:p>
      <w:pPr>
        <w:ind w:left="780"/>
      </w:pPr>
      <w:r>
        <w:t xml:space="preserve">c) nach § 15 Absatz 4 anderer Betriebe und Mitunternehmeranteile,</w:t>
      </w:r>
    </w:p>
    <w:p>
      <w:pPr>
        <w:ind w:left="780"/>
      </w:pPr>
      <w:r>
        <w:t xml:space="preserve">d) nach § 2a,</w:t>
      </w:r>
    </w:p>
    <w:p>
      <w:pPr>
        <w:ind w:left="780"/>
      </w:pPr>
      <w:r>
        <w:t xml:space="preserve">e) nach § 2b,</w:t>
      </w:r>
    </w:p>
    <w:p>
      <w:pPr>
        <w:ind w:left="780"/>
      </w:pPr>
      <w:r>
        <w:t xml:space="preserve">f) nach § 23 Absatz 3 Satz 7 und 8,</w:t>
      </w:r>
    </w:p>
    <w:p>
      <w:pPr>
        <w:ind w:left="780"/>
      </w:pPr>
      <w:r>
        <w:t xml:space="preserve">g) nach sonstigen Vorschriften;</w:t>
      </w:r>
    </w:p>
    <w:p>
      <w:pPr>
        <w:ind w:left="420"/>
      </w:pPr>
      <w:r>
        <w:t xml:space="preserve">12. ungeachtet der Beträge des § 10d Absatz 1 Satz 1 die negativen Einkünfte nach § 10d Absatz 1 Satz 1 des Folgejahrs und die negativen Einkünfte nach § 10d Absatz 1 Satz 2 des zweiten Folgejahrs. 2Ein Verlustrücktrag nach § 10d Absatz 1 Satz 1 und 2 ist nur möglich, soweit die Beträge nach § 10d Absatz 1 Satz 1 und 2 durch den verbleibenden Sanierungsertrag im Sinne des Satzes 4 nicht überschritten werden;</w:t>
      </w:r>
    </w:p>
    <w:p>
      <w:pPr>
        <w:ind w:left="420"/>
      </w:pPr>
      <w:r>
        <w:t xml:space="preserve">13. den zum Ende des Vorjahrs festgestellten und den im Sanierungsjahr entstehenden</w:t>
      </w:r>
    </w:p>
    <w:p>
      <w:pPr>
        <w:ind w:left="780"/>
      </w:pPr>
      <w:r>
        <w:t xml:space="preserve">a) Zinsvortrag nach § 4h Absatz 1 Satz 5,</w:t>
      </w:r>
    </w:p>
    <w:p>
      <w:pPr>
        <w:ind w:left="780"/>
      </w:pPr>
      <w:r>
        <w:t xml:space="preserve">b) EBITDA-Vortrag nach § 4h Absatz 1 Satz 3. 2Die Minderung des EBITDA-Vortrags des Sanierungsjahrs und der EBITDA-Vorträge aus vorangegangenen Wirtschaftsjahren erfolgt in ihrer zeitlichen Reihenfolge.</w:t>
      </w:r>
    </w:p>
    <w:p>
      <w:r>
        <w:t xml:space="preserve">3Übersteigt der geminderte Sanierungsertrag nach Satz 1 die nach Satz 2 mindernden Beträge, mindern sich insoweit nach Maßgabe des Satzes 2 auch der verteilt abziehbare Aufwand, Verluste, negative Einkünfte, Zinsvorträge oder EBITDA-Vorträge einer dem Steuerpflichtigen nahestehenden Person, wenn diese die erlassenen Schulden innerhalb eines Zeitraums von fünf Jahren vor dem Schuldenerlass auf das zu sanierende Unternehmen übertragen hat und soweit der entsprechende verteilt abziehbare Aufwand, die Verluste, negativen Einkünfte, Zinsvorträge oder EBITDA-Vorträge zum Ablauf des Wirtschaftsjahrs der Übertragung bereits entstanden waren. 4Der sich nach den Sätzen 2 und 3 ergebende Betrag ist der verbleibende Sanierungsertrag. 5Die nach den Sätzen 2 und 3 mindernden Beträge bleiben endgültig außer Ansatz und nehmen an den entsprechenden Feststellungen der verrechenbaren Verluste, verbleibenden Verlustvorträge und sonstigen Feststellungen nicht teil.</w:t>
      </w:r>
    </w:p>
    <w:p>
      <w:r>
        <w:t xml:space="preserve">(3a) Bei Zusammenveranlagung sind auch die laufenden Beträge und Verlustvorträge des anderen Ehegatten einzubeziehen.</w:t>
      </w:r>
    </w:p>
    <w:p>
      <w:r>
        <w:t xml:space="preserve">(4) 1Sind Einkünfte aus Land- und Forstwirtschaft, Gewerbebetrieb oder selbständiger Arbeit nach § 180 Absatz 1 Satz 1 Nummer 2 Buchstabe a oder b der Abgabenordnung gesondert festzustellen, ist auch die Höhe des Sanierungsertrags nach Absatz 1 Satz 1 oder Absatz 5 sowie die Höhe der nach Absatz 3 Satz 2 Nummer 1 bis 6 und 13 mindernden Beträge gesondert festzustellen. 2Zuständig für die gesonderte Feststellung nach Satz 1 ist das Finanzamt, das für die gesonderte Feststellung nach § 180 Absatz 1 Satz 1 Nummer 2 der Abgabenordnung zuständig ist. 3Wurden verrechenbare Verluste und Verlustvorträge ohne Berücksichtigung des Absatzes 3 Satz 2 bereits festgestellt oder ändern sich die nach Absatz 3 Satz 2 mindernden Beträge, ist der entsprechende Feststellungsbescheid insoweit zu ändern. 4Das gilt auch dann, wenn der Feststellungsbescheid bereits bestandskräftig geworden ist; die Feststellungsfrist endet insoweit nicht, bevor die Festsetzungsfrist des Einkommensteuerbescheids oder Körperschaftsteuerbescheids für das Sanierungsjahr abgelaufen ist.</w:t>
      </w:r>
    </w:p>
    <w:p>
      <w:r>
        <w:t xml:space="preserve">(5) 1Erträge aus einer nach den §§ 286 ff. der Insolvenzordnung erteilten Restschuldbefreiung, einem Schuldenerlass auf Grund eines außergerichtlichen Schuldenbereinigungsplans zur Vermeidung eines Verbraucherinsolvenzverfahrens nach den §§ 304 ff. der Insolvenzordnung oder auf Grund eines Schuldenbereinigungsplans, dem in einem Verbraucherinsolvenzverfahren zugestimmt wurde oder wenn diese Zustimmung durch das Gericht ersetzt wurde, sind, soweit es sich um Betriebsvermögensmehrungen oder Betriebseinnahmen handelt, ebenfalls steuerfrei, auch wenn die Voraussetzungen einer unternehmensbezogenen Sanierung im Sinne des Absatzes 2 nicht vorliegen. 2Absatz 1 Satz 2 und die Absätze 3 und 3a gelten entsprechend.</w:t>
      </w:r>
    </w:p>
    <w:p>
      <w:r>
        <w:rPr>
          <w:color w:val="555555"/>
          <w:sz w:val="17"/>
        </w:rPr>
        <w:t xml:space="preserve">Zitiervorschlag: § 3a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