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39f EStG — Faktorverfahren anstelle Steuerklassenkombination III/V</w:t>
      </w:r>
    </w:p>
    <w:p>
      <w:r>
        <w:rPr>
          <w:color w:val="555555"/>
          <w:sz w:val="18"/>
        </w:rPr>
        <w:t xml:space="preserve">Einkommensteuergesetz</w:t>
      </w:r>
    </w:p>
    <w:p>
      <w:r>
        <w:rPr>
          <w:color w:val="555555"/>
          <w:sz w:val="18"/>
        </w:rPr>
        <w:t xml:space="preserve">Stand: 10.01.2020 (konsolidierte Textfassung, kein amtliches Inkrafttretensdatum)</w:t>
      </w:r>
    </w:p>
    <w:p>
      <w:r>
        <w:t xml:space="preserve">(1) 1Bei Ehegatten, die in die Steuerklasse IV gehören (§ 38b Absatz 1 Satz 2 Nummer 4 erster Halbsatz), hat das Finanzamt auf Antrag beider Ehegatten nach § 39a anstelle der Steuerklassenkombination III/V (§ 38b Absatz 1 Satz 2 Nummer 5) als Lohnsteuerabzugsmerkmal jeweils die Steuerklasse IV in Verbindung mit einem Faktor zur Ermittlung der Lohnsteuer zu bilden, wenn der Faktor kleiner als 1 ist. 2Der Faktor ist Y : X und vom Finanzamt mit drei Nachkommastellen ohne Rundung zu berechnen. 3„Y“ ist die voraussichtliche Einkommensteuer für beide Ehegatten nach dem Splittingverfahren (§ 32a Absatz 5) unter Berücksichtigung der in § 39b Absatz 2 genannten Abzugsbeträge. 4„X“ ist die Summe der voraussichtlichen Lohnsteuer bei Anwendung der Steuerklasse IV für jeden Ehegatten. 5Maßgeblich sind die Steuerbeträge des Kalenderjahres, für das der Faktor erstmals gelten soll.6In die Bemessungsgrundlage für Y werden jeweils neben den Jahresarbeitslöhnen der ersten Dienstverhältnisse zusätzlich nur Beträge einbezogen, die nach § 39a Absatz 1 Satz 1 Nummer 1 bis 6 als Freibetrag ermittelt und als Lohnsteuerabzugsmerkmal gebildet werden könnten; Freibeträge werden neben dem Faktor nicht als Lohnsteuerabzugsmerkmal gebildet. 7In den Fällen des § 39a Absatz 1 Satz 1 Nummer 7 sind bei der Ermittlung von Y und X die Hinzurechnungsbeträge zu berücksichtigen; die Hinzurechnungsbeträge sind zusätzlich als Lohnsteuerabzugsmerkmal für das erste Dienstverhältnis zu bilden. 8Arbeitslöhne aus zweiten und weiteren Dienstverhältnissen (Steuerklasse VI) sind im Faktorverfahren nicht zu berücksichtigen. 9Der nach Satz 1 gebildete Faktor gilt bis zum Ablauf des Kalenderjahres, das auf das Kalenderjahr folgt, in dem der Faktor erstmals gilt oder zuletzt geändert worden ist. 10Die Ehegatten können eine Änderung des Faktors beantragen, wenn sich die für die Ermittlung des Faktors maßgeblichen Jahresarbeitslöhne im Sinne des Satzes 6 ändern. 11Besteht eine Anzeigepflicht nach § 39a Absatz 1 Satz 5 oder wird eine Änderung des Freibetrags nach § 39a Absatz 1 Satz 4 beantragt, gilt die Anzeige oder der Antrag auf Änderung des Freibetrags zugleich als Antrag auf Anpassung des Faktors.</w:t>
      </w:r>
    </w:p>
    <w:p>
      <w:r>
        <w:t xml:space="preserve">(2) Für die Einbehaltung der Lohnsteuer vom Arbeitslohn hat der Arbeitgeber Steuerklasse IV und den Faktor anzuwenden.</w:t>
      </w:r>
    </w:p>
    <w:p>
      <w:r>
        <w:t xml:space="preserve">(3) 1§ 39 Absatz 6 Satz 3 und 5 gilt mit der Maßgabe, dass die Änderungen nach Absatz 1 Satz 10 und 11 keine Änderungen im Sinne des § 39 Absatz 6 Satz 3 sind. 2§ 39a ist anzuwenden mit der Maßgabe, dass ein Antrag nach amtlich vorgeschriebenem Vordruck (§ 39a Absatz 2) nur erforderlich ist, wenn bei der Faktorermittlung zugleich Beträge nach § 39a Absatz 1 Satz 1 Nummer 1 bis 6 berücksichtigt werden sollen.</w:t>
      </w:r>
    </w:p>
    <w:p>
      <w:r>
        <w:t xml:space="preserve">(4) Das Faktorverfahren ist im Programmablaufplan für die maschinelle Berechnung der Lohnsteuer (§ 39b Absatz 6) zu berücksichtigen.</w:t>
      </w:r>
    </w:p>
    <w:p>
      <w:r>
        <w:rPr>
          <w:color w:val="555555"/>
          <w:sz w:val="17"/>
        </w:rPr>
        <w:t xml:space="preserve">Zitiervorschlag: § 39f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https://recht.nulegal.eu/gesetze/EStG/39f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