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36a EStG — Beschränkung der Anrechenbarkeit der Kapitalertragsteuer</w:t>
      </w:r>
    </w:p>
    <w:p>
      <w:r>
        <w:rPr>
          <w:color w:val="555555"/>
          <w:sz w:val="18"/>
        </w:rPr>
        <w:t xml:space="preserve">Einkommensteuergesetz</w:t>
      </w:r>
    </w:p>
    <w:p>
      <w:r>
        <w:rPr>
          <w:color w:val="555555"/>
          <w:sz w:val="18"/>
        </w:rPr>
        <w:t xml:space="preserve">Stand: 09.04.2024 (konsolidierte Textfassung, kein amtliches Inkrafttretensdatum)</w:t>
      </w:r>
    </w:p>
    <w:p>
      <w:r>
        <w:t xml:space="preserve">(1) 1Ungeachtet eines Abkommens zur Vermeidung der Doppelbesteuerung setzt bei Kapitalerträgen im Sinne des § 43 Absatz 1 Satz 1 Nummer 1a die volle Anrechnung der durch Steuerabzug erhobenen Einkommensteuer ferner voraus, dass der Steuerpflichtige hinsichtlich der diesen Kapitalerträgen zugrunde liegenden Anteile oder Genussscheine</w:t>
      </w:r>
    </w:p>
    <w:p>
      <w:pPr>
        <w:ind w:left="420"/>
      </w:pPr>
      <w:r>
        <w:t xml:space="preserve">1. während der Mindesthaltedauer nach Absatz 2 ununterbrochen wirtschaftlicher Eigentümer ist,</w:t>
      </w:r>
    </w:p>
    <w:p>
      <w:pPr>
        <w:ind w:left="420"/>
      </w:pPr>
      <w:r>
        <w:t xml:space="preserve">2. während der Mindesthaltedauer nach Absatz 2 ununterbrochen das Mindestwertänderungsrisiko nach Absatz 3 trägt und</w:t>
      </w:r>
    </w:p>
    <w:p>
      <w:pPr>
        <w:ind w:left="420"/>
      </w:pPr>
      <w:r>
        <w:t xml:space="preserve">3. nicht verpflichtet ist, die Kapitalerträge ganz oder überwiegend, unmittelbar oder mittelbar anderen Personen zu vergüten.</w:t>
      </w:r>
    </w:p>
    <w:p>
      <w:r>
        <w:t xml:space="preserve">2Fehlen die Voraussetzungen des Satzes 1, so sind drei Fünftel der Kapitalertragsteuer nicht anzurechnen. 3Die nach den Sätzen 1 und 2 nicht angerechnete Kapitalertragsteuer ist auf Antrag bei der Ermittlung der Einkünfte abzuziehen. 4Die Sätze 1 bis 3 gelten entsprechend für Anteile oder Genussscheine, die zu inländischen Kapitalerträgen im Sinne des § 43 Absatz 3 Satz 1 führen und einer Wertpapiersammelbank im Ausland zur Verwahrung anvertraut sind.</w:t>
      </w:r>
    </w:p>
    <w:p>
      <w:r>
        <w:t xml:space="preserve">(2) 1Die Mindesthaltedauer umfasst 45 Tage und muss innerhalb eines Zeitraums von 45 Tagen vor und 45 Tagen nach der Fälligkeit der Kapitalerträge erreicht werden. 2Bei Anschaffungen und Veräußerungen ist zu unterstellen, dass die zuerst angeschafften Anteile oder Genussscheine zuerst veräußert wurden.</w:t>
      </w:r>
    </w:p>
    <w:p>
      <w:r>
        <w:t xml:space="preserve">(3) 1Der Steuerpflichtige muss unter Berücksichtigung von gegenläufigen Ansprüchen und Ansprüchen nahe stehender Personen das Risiko aus einem sinkenden Wert der Anteile oder Genussscheine im Umfang von mindestens 70 Prozent tragen (Mindestwertänderungsrisiko). 2Kein hinreichendes Mindestwertänderungsrisiko liegt insbesondere dann vor, wenn der Steuerpflichtige oder eine ihm nahe stehende Person Kurssicherungsgeschäfte abgeschlossen hat, die das Wertänderungsrisiko der Anteile oder Genussscheine unmittelbar oder mittelbar um mehr als 30 Prozent mindern.</w:t>
      </w:r>
    </w:p>
    <w:p>
      <w:r>
        <w:t xml:space="preserve">(4) 1Einkommen- oder körperschaftsteuerpflichtige Personen, bei denen insbesondere auf Grund einer Steuerbefreiung kein Steuerabzug vorgenommen oder denen ein Steuerabzug erstattet wurde und die die Voraussetzungen für eine Anrechenbarkeit der Kapitalertragsteuer nach den Absätzen 1 bis 3 nicht erfüllen, haben</w:t>
      </w:r>
    </w:p>
    <w:p>
      <w:pPr>
        <w:ind w:left="420"/>
      </w:pPr>
      <w:r>
        <w:t xml:space="preserve">1. dies gegenüber ihrem zuständigen Finanzamt anzuzeigen,</w:t>
      </w:r>
    </w:p>
    <w:p>
      <w:pPr>
        <w:ind w:left="420"/>
      </w:pPr>
      <w:r>
        <w:t xml:space="preserve">2. Kapitalertragsteuer in Höhe von 15 Prozent der Kapitalerträge im Sinne des § 43 Absatz 1 Satz 1 Nummer 1a und des Absatzes 1 Satz 4 nach amtlich vorgeschriebenem Vordruck auf elektronischem Weg anzumelden und</w:t>
      </w:r>
    </w:p>
    <w:p>
      <w:pPr>
        <w:ind w:left="420"/>
      </w:pPr>
      <w:r>
        <w:t xml:space="preserve">3. die angemeldete Steuer zu entrichten.</w:t>
      </w:r>
    </w:p>
    <w:p>
      <w:r>
        <w:t xml:space="preserve">2Die Anzeige, Anmeldung und Entrichtung hat bei Steuerpflichtigen, die ihren Gewinn durch Betriebsvermögensvergleich ermitteln, bis zum 10. Tag des auf den Ablauf des Wirtschaftsjahres folgenden Monats und bei anderen Steuerpflichtigen bis zum 10. Tag des auf den Ablauf des Kalenderjahres folgenden Monats zu erfolgen.</w:t>
      </w:r>
    </w:p>
    <w:p>
      <w:r>
        <w:t xml:space="preserve">(5) Die Absätze 1 bis 4 sind nicht anzuwenden, wenn</w:t>
      </w:r>
    </w:p>
    <w:p>
      <w:pPr>
        <w:ind w:left="420"/>
      </w:pPr>
      <w:r>
        <w:t xml:space="preserve">1. die Kapitalerträge im Sinne des § 43 Absatz 1 Satz 1 Nummer 1a und des Absatzes 1 Satz 4 im Veranlagungszeitraum nicht mehr als 20 000 Euro betragen oder</w:t>
      </w:r>
    </w:p>
    <w:p>
      <w:pPr>
        <w:ind w:left="420"/>
      </w:pPr>
      <w:r>
        <w:t xml:space="preserve">2. der Steuerpflichtige bei Zufluss der Kapitalerträge im Sinne des § 43 Absatz 1 Satz 1 Nummer 1a und des Absatzes 1 Satz 4 seit mindestens einem Jahr ununterbrochen wirtschaftlicher Eigentümer der Aktien oder Genussscheine ist; Absatz 2 Satz 2 gilt entsprechend.</w:t>
      </w:r>
    </w:p>
    <w:p>
      <w:r>
        <w:t xml:space="preserve">(6) 1Der Treuhänder und der Treugeber gelten für die Zwecke der vorstehenden Absätze als eine Person, wenn Kapitalerträge im Sinne des § 43 Absatz 1 Satz 1 Nummer 1a und des Absatzes 1 Satz 4 einem Treuhandvermögen zuzurechnen sind, welches ausschließlich der Erfüllung von Altersvorsorgeverpflichtungen dient und dem Zugriff übriger Gläubiger entzogen ist. 2Entsprechendes gilt für Versicherungsunternehmen und Versicherungsnehmer im Rahmen von fondsgebundenen Lebensversicherungen, wenn die Leistungen aus dem Vertrag an den Wert eines internen Fonds im Sinne des § 124 Absatz 2 Satz 2 Nummer 1 des Versicherungsaufsichtsgesetzes gebunden sind.</w:t>
      </w:r>
    </w:p>
    <w:p>
      <w:r>
        <w:t xml:space="preserve">(7) § 42 der Abgabenordnung bleibt unberührt.</w:t>
      </w:r>
    </w:p>
    <w:p>
      <w:r>
        <w:rPr>
          <w:color w:val="555555"/>
          <w:sz w:val="17"/>
        </w:rPr>
        <w:t xml:space="preserve">Zitiervorschlag: § 36a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