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34b EStG — Steuersätze bei Einkünften aus außerordentlichen Holznutzungen</w:t>
      </w:r>
    </w:p>
    <w:p>
      <w:r>
        <w:rPr>
          <w:color w:val="555555"/>
          <w:sz w:val="18"/>
        </w:rPr>
        <w:t xml:space="preserve">Einkommensteuergesetz</w:t>
      </w:r>
    </w:p>
    <w:p>
      <w:r>
        <w:rPr>
          <w:color w:val="555555"/>
          <w:sz w:val="18"/>
        </w:rPr>
        <w:t xml:space="preserve">Stand: 10.06.2019 (konsolidierte Textfassung, kein amtliches Inkrafttretensdatum)</w:t>
      </w:r>
    </w:p>
    <w:p>
      <w:r>
        <w:t xml:space="preserve">(1) Außerordentliche Holznutzungen sind</w:t>
      </w:r>
    </w:p>
    <w:p>
      <w:pPr>
        <w:ind w:left="420"/>
      </w:pPr>
      <w:r>
        <w:t xml:space="preserve">1. Holznutzungen, die aus volks- oder staatswirtschaftlichen Gründen erfolgt sind. 2Sie liegen nur insoweit vor, als sie durch gesetzlichen oder behördlichen Zwang veranlasst sind;</w:t>
      </w:r>
    </w:p>
    <w:p>
      <w:pPr>
        <w:ind w:left="420"/>
      </w:pPr>
      <w:r>
        <w:t xml:space="preserve">2. Holznutzungen infolge höherer Gewalt (Kalamitätsnutzungen). 2Sie sind durch Eis-, Schnee-, Windbruch oder Windwurf, Erdbeben, Bergrutsch, Insektenfraß, Brand oder durch Naturereignisse mit vergleichbaren Folgen verursacht. 3Hierzu gehören nicht die Schäden, die in der Forstwirtschaft regelmäßig entstehen.</w:t>
      </w:r>
    </w:p>
    <w:p>
      <w:r>
        <w:t xml:space="preserve">(2) 1Zur Ermittlung der Einkünfte aus außerordentlichen Holznutzungen sind von den Einnahmen sämtlicher Holznutzungen die damit in sachlichem Zusammenhang stehenden Betriebsausgaben abzuziehen. 2Das nach Satz 1 ermittelte Ergebnis ist auf die ordentlichen und außerordentlichen Holznutzungsarten aufzuteilen, in dem die außerordentlichen Holznutzungen zur gesamten Holznutzung ins Verhältnis gesetzt wird. 3Bei einer Gewinnermittlung durch Betriebsvermögensvergleich sind die im Wirtschaftsjahr veräußerten Holzmengen maßgebend. 4Bei einer Gewinnermittlung nach den Grundsätzen des § 4 Absatz 3 ist von den Holzmengen auszugehen, die den im Wirtschaftsjahr zugeflossenen Einnahmen zugrunde liegen. 5Die Sätze 1 bis 4 gelten für entnommenes Holz entsprechend.</w:t>
      </w:r>
    </w:p>
    <w:p>
      <w:r>
        <w:t xml:space="preserve">(3) Die Einkommensteuer bemisst sich für die Einkünfte aus außerordentlichen Holznutzungen im Sinne des Absatzes 1</w:t>
      </w:r>
    </w:p>
    <w:p>
      <w:pPr>
        <w:ind w:left="420"/>
      </w:pPr>
      <w:r>
        <w:t xml:space="preserve">1. nach der Hälfte des durchschnittlichen Steuersatzes, der sich ergäbe, wenn die tarifliche Einkommensteuer nach dem gesamten zu versteuernden Einkommen zuzüglich der dem Progressionsvorbehalt unterliegenden Einkünfte zu bemessen wäre;</w:t>
      </w:r>
    </w:p>
    <w:p>
      <w:pPr>
        <w:ind w:left="420"/>
      </w:pPr>
      <w:r>
        <w:t xml:space="preserve">2. nach dem halben Steuersatz der Nummer 1, soweit sie den Nutzungssatz (§ 68 der Einkommensteuer-Durchführungsverordnung) übersteigen.</w:t>
      </w:r>
    </w:p>
    <w:p>
      <w:r>
        <w:t xml:space="preserve">(4) Einkünfte aus außerordentlichen Holznutzungen sind nur anzuerkennen, wenn</w:t>
      </w:r>
    </w:p>
    <w:p>
      <w:pPr>
        <w:ind w:left="420"/>
      </w:pPr>
      <w:r>
        <w:t xml:space="preserve">1. das im Wirtschaftsjahr veräußerte oder entnommene Holz mengenmäßig getrennt nach ordentlichen und außerordentlichen Holznutzungen nachgewiesen wird und</w:t>
      </w:r>
    </w:p>
    <w:p>
      <w:pPr>
        <w:ind w:left="420"/>
      </w:pPr>
      <w:r>
        <w:t xml:space="preserve">2. Schäden infolge höherer Gewalt unverzüglich nach Feststellung des Schadensfalls der zuständigen Finanzbehörde mitgeteilt und nach der Aufarbeitung mengenmäßig nachgewiesen werden.</w:t>
      </w:r>
    </w:p>
    <w:p>
      <w:r>
        <w:t xml:space="preserve">(5) Die Bundesregierung wird ermächtigt, durch Rechtsverordnung mit Zustimmung des Bundesrates</w:t>
      </w:r>
    </w:p>
    <w:p>
      <w:pPr>
        <w:ind w:left="420"/>
      </w:pPr>
      <w:r>
        <w:t xml:space="preserve">1. die Steuersätze abweichend von Absatz 3 für ein Wirtschaftsjahr aus sachlichen Billigkeitsgründen zu regeln,</w:t>
      </w:r>
    </w:p>
    <w:p>
      <w:pPr>
        <w:ind w:left="420"/>
      </w:pPr>
      <w:r>
        <w:t xml:space="preserve">2. die Anwendung des § 4a des Forstschäden-Ausgleichsgesetzes für ein Wirtschaftsjahr aus sachlichen Billigkeitsgründen zu regeln,</w:t>
      </w:r>
    </w:p>
    <w:p>
      <w:r>
        <w:t xml:space="preserve">wenn besondere Schadensereignisse nach Absatz 1 Nummer 2 vorliegen und eine Einschlagsbeschränkung (§ 1 Absatz 1 des Forstschäden-Ausgleichsgesetzes) nicht angeordnet wurde.</w:t>
      </w:r>
    </w:p>
    <w:p>
      <w:r>
        <w:rPr>
          <w:color w:val="555555"/>
          <w:sz w:val="17"/>
        </w:rPr>
        <w:t xml:space="preserve">Zitiervorschlag: § 34b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