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EStG — Außergewöhnliche Belastungen</w:t>
      </w:r>
    </w:p>
    <w:p>
      <w:r>
        <w:rPr>
          <w:color w:val="555555"/>
          <w:sz w:val="18"/>
        </w:rPr>
        <w:t xml:space="preserve">Einkommensteuergesetz</w:t>
      </w:r>
    </w:p>
    <w:p>
      <w:r>
        <w:rPr>
          <w:color w:val="555555"/>
          <w:sz w:val="18"/>
        </w:rPr>
        <w:t xml:space="preserve">Stand: 16.12.2020 (konsolidierte Textfassung, kein amtliches Inkrafttretensdatum)</w:t>
      </w:r>
    </w:p>
    <w:p>
      <w:r>
        <w:t xml:space="preserve">(1) Erwachsen einem Steuerpflichtigen zwangsläufig größere Aufwendungen als der überwiegenden Mehrzahl der Steuerpflichtigen gleicher Einkommensverhältnisse, gleicher Vermögensverhältnisse und gleichen Familienstands (außergewöhnliche Belastung), so wird auf Antrag die Einkommensteuer dadurch ermäßigt, dass der Teil der Aufwendungen, der die dem Steuerpflichtigen zumutbare Belastung (Absatz 3) übersteigt, vom Gesamtbetrag der Einkünfte abgezogen wird.</w:t>
      </w:r>
    </w:p>
    <w:p>
      <w:r>
        <w:t xml:space="preserve">(2) 1Aufwendungen erwachsen dem Steuerpflichtigen zwangsläufig, wenn er sich ihnen aus rechtlichen, tatsächlichen oder sittlichen Gründen nicht entziehen kann und soweit die Aufwendungen den Umständen nach notwendig sind und einen angemessenen Betrag nicht übersteigen. 2Aufwendungen, die zu den Betriebsausgaben, Werbungskosten oder Sonderausgaben gehören, bleiben dabei außer Betracht; das gilt für Aufwendungen im Sinne des § 10 Absatz 1 Nummer 7 und 9 nur insoweit, als sie als Sonderausgaben abgezogen werden können. 3Aufwendungen, die durch Diätverpflegung entstehen, können nicht als außergewöhnliche Belastung berücksichtigt werden. 4Aufwendungen für die Führung eines Rechtsstreits (Prozesskosten) sind vom Abzug ausgeschlossen, es sei denn, es handelt sich um Aufwendungen ohne die der Steuerpflichtige Gefahr liefe, seine Existenzgrundlage zu verlieren und seine lebensnotwendigen Bedürfnisse in dem üblichen Rahmen nicht mehr befriedigen zu können.</w:t>
      </w:r>
    </w:p>
    <w:p>
      <w:r>
        <w:t xml:space="preserve">(2a) 1Abweichend von Absatz 1 wird für Aufwendungen für durch eine Behinderung veranlasste Fahrten nur eine Pauschale gewährt (behinderungsbedingte Fahrtkostenpauschale). 2Die Pauschale erhalten:</w:t>
      </w:r>
    </w:p>
    <w:p>
      <w:pPr>
        <w:ind w:left="420"/>
      </w:pPr>
      <w:r>
        <w:t xml:space="preserve">1. Menschen mit einem Grad der Behinderung von mindestens 80 oder mit einem Grad der Behinderung von mindestens 70 und dem Merkzeichen „G“,</w:t>
      </w:r>
    </w:p>
    <w:p>
      <w:pPr>
        <w:ind w:left="420"/>
      </w:pPr>
      <w:r>
        <w:t xml:space="preserve">2. Menschen mit dem Merkzeichen „aG“, mit dem Merkzeichen „Bl“, mit dem Merkzeichen „TBl“ oder mit dem Merkzeichen „H“.</w:t>
      </w:r>
    </w:p>
    <w:p>
      <w:r>
        <w:t xml:space="preserve">3Bei Erfüllung der Anspruchsvoraussetzungen nach Satz 2 Nummer 1 beträgt die Pauschale 900 Euro. 4Bei Erfüllung der Anspruchsvoraussetzungen nach Satz 2 Nummer 2 beträgt die Pauschale 4 500 Euro. 5In diesem Fall kann die Pauschale nach Satz 3 nicht zusätzlich in Anspruch genommen werden. 6Über die Fahrtkostenpauschale nach Satz 1 hinaus sind keine weiteren behinderungsbedingten Fahrtkosten als außergewöhnliche Belastung nach Absatz 1 berücksichtigungsfähig. 7Die Pauschale ist bei der Ermittlung des Teils der Aufwendungen im Sinne des Absatzes 1, der die zumutbare Belastung übersteigt, einzubeziehen. 8Sie kann auch gewährt werden, wenn ein Behinderten-Pauschbetrag nach § 33b Absatz 5 übertragen wurde. 9§ 33b Absatz 5 ist entsprechend anzuwenden.</w:t>
      </w:r>
    </w:p>
    <w:p>
      <w:r>
        <w:t xml:space="preserve">(3) 1Die zumutbare Belastung beträgt</w:t>
      </w:r>
    </w:p>
    <w:p>
      <w:r>
        <w:rPr>
          <w:rFonts w:ascii="Courier New" w:hAnsi="Courier New"/>
          <w:sz w:val="17"/>
        </w:rPr>
        <w:t xml:space="preserve">bei einem Gesamtbetrag der Einkünfte    bis 15 340 EUR    über 15 340 EUR bis 51 130 EUR    über 51 130 EUR</w:t>
      </w:r>
    </w:p>
    <w:p>
      <w:r>
        <w:rPr>
          <w:rFonts w:ascii="Courier New" w:hAnsi="Courier New"/>
          <w:sz w:val="17"/>
        </w:rPr>
        <w:t xml:space="preserve">1.    bei Steuerpflichtigen, die keine Kinder haben und bei denen die Einkommensteuer            </w:t>
      </w:r>
    </w:p>
    <w:p>
      <w:r>
        <w:rPr>
          <w:rFonts w:ascii="Courier New" w:hAnsi="Courier New"/>
          <w:sz w:val="17"/>
        </w:rPr>
        <w:t xml:space="preserve">    a) nach § 32a Absatz 1,    5    6    7</w:t>
      </w:r>
    </w:p>
    <w:p>
      <w:r>
        <w:rPr>
          <w:rFonts w:ascii="Courier New" w:hAnsi="Courier New"/>
          <w:sz w:val="17"/>
        </w:rPr>
        <w:t xml:space="preserve">    b) nach § 32a Absatz 5 oder 6 (Splitting-Verfahren)zu berechnen ist;    4    5    6</w:t>
      </w:r>
    </w:p>
    <w:p>
      <w:r>
        <w:rPr>
          <w:rFonts w:ascii="Courier New" w:hAnsi="Courier New"/>
          <w:sz w:val="17"/>
        </w:rPr>
        <w:t xml:space="preserve">2.    bei Steuerpflichtigen mit            </w:t>
      </w:r>
    </w:p>
    <w:p>
      <w:r>
        <w:rPr>
          <w:rFonts w:ascii="Courier New" w:hAnsi="Courier New"/>
          <w:sz w:val="17"/>
        </w:rPr>
        <w:t xml:space="preserve">    a) einem Kind oder zwei Kindern,    2    3    4</w:t>
      </w:r>
    </w:p>
    <w:p>
      <w:r>
        <w:rPr>
          <w:rFonts w:ascii="Courier New" w:hAnsi="Courier New"/>
          <w:sz w:val="17"/>
        </w:rPr>
        <w:t xml:space="preserve">    b) drei oder mehr Kindern    1    1    2</w:t>
      </w:r>
    </w:p>
    <w:p>
      <w:r>
        <w:rPr>
          <w:rFonts w:ascii="Courier New" w:hAnsi="Courier New"/>
          <w:sz w:val="17"/>
        </w:rPr>
        <w:t xml:space="preserve">        Prozent des Gesamtbetrags der Einkünfte.</w:t>
      </w:r>
    </w:p>
    <w:p>
      <w:r>
        <w:t xml:space="preserve">2Als Kinder des Steuerpflichtigen zählen die, für die er Anspruch auf einen Freibetrag nach § 32 Absatz 6 oder auf Kindergeld hat.</w:t>
      </w:r>
    </w:p>
    <w:p>
      <w:r>
        <w:t xml:space="preserve">(4) Die Bundesregierung wird ermächtigt, durch Rechtsverordnung mit Zustimmung des Bundesrates die Einzelheiten des Nachweises von Aufwendungen nach Absatz 1 und der Anspruchsvoraussetzungen nach Absatz 2a zu bestimmen.</w:t>
      </w:r>
    </w:p>
    <w:p>
      <w:r>
        <w:rPr>
          <w:color w:val="555555"/>
          <w:sz w:val="17"/>
        </w:rPr>
        <w:t xml:space="preserve">Zitiervorschlag: § 33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