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32d EStG — Gesonderter Steuertarif für Einkünfte aus Kapitalvermögen</w:t>
      </w:r>
    </w:p>
    <w:p>
      <w:r>
        <w:rPr>
          <w:color w:val="555555"/>
          <w:sz w:val="18"/>
        </w:rPr>
        <w:t xml:space="preserve">Einkommensteuergesetz</w:t>
      </w:r>
    </w:p>
    <w:p>
      <w:r>
        <w:rPr>
          <w:color w:val="555555"/>
          <w:sz w:val="18"/>
        </w:rPr>
        <w:t xml:space="preserve">Stand: 06.01.2021 (konsolidierte Textfassung, kein amtliches Inkrafttretensdatum)</w:t>
      </w:r>
    </w:p>
    <w:p>
      <w:r>
        <w:t xml:space="preserve">(1) 1Die Einkommensteuer für Einkünfte aus Kapitalvermögen, die nicht unter § 20 Absatz 8 fallen, beträgt 25 Prozent. 2Die Steuer nach Satz 1 vermindert sich um die nach Maßgabe des Absatzes 5 anrechenbaren ausländischen Steuern. 3Im Fall der Kirchensteuerpflicht ermäßigt sich die Steuer nach den Sätzen 1 und 2 um 25 Prozent der auf die Kapitalerträge entfallenden Kirchensteuer. 4Die Einkommensteuer beträgt damit</w:t>
      </w:r>
    </w:p>
    <w:p>
      <w:r>
        <w:rPr>
          <w:rFonts w:ascii="Courier New" w:hAnsi="Courier New"/>
          <w:sz w:val="17"/>
        </w:rPr>
        <w:t xml:space="preserve">    e – 4q    </w:t>
      </w:r>
    </w:p>
    <w:p>
      <w:r>
        <w:rPr>
          <w:rFonts w:ascii="Courier New" w:hAnsi="Courier New"/>
          <w:sz w:val="17"/>
        </w:rPr>
        <w:t xml:space="preserve">    4 +k    .</w:t>
      </w:r>
    </w:p>
    <w:p>
      <w:r>
        <w:t xml:space="preserve">5Dabei sind „e“ die nach den Vorschriften des § 20 ermittelten Einkünfte, „q“ die nach Maßgabe des Absatzes 5 anrechenbare ausländische Steuer und „k“ der für die Kirchensteuer erhebende Religionsgesellschaft (Religionsgemeinschaft) geltende Kirchensteuersatz.</w:t>
      </w:r>
    </w:p>
    <w:p>
      <w:r>
        <w:t xml:space="preserve">(2) Absatz 1 gilt nicht</w:t>
      </w:r>
    </w:p>
    <w:p>
      <w:pPr>
        <w:ind w:left="420"/>
      </w:pPr>
      <w:r>
        <w:t xml:space="preserve">1. für Kapitalerträge im Sinne des § 20 Absatz 1 Nummer 4 und 7 sowie Absatz 2 Satz 1 Nummer 4 und 7,</w:t>
      </w:r>
    </w:p>
    <w:p>
      <w:pPr>
        <w:ind w:left="780"/>
      </w:pPr>
      <w:r>
        <w:t xml:space="preserve">a) wenn Gläubiger und Schuldner einander nahe stehende Personen sind, soweit die den Kapitalerträgen entsprechenden Aufwendungen beim Schuldner Betriebsausgaben oder Werbungskosten im Zusammenhang mit Einkünften sind, die der inländischen Besteuerung unterliegen und § 20 Absatz 9 Satz 1 zweiter Halbsatz keine Anwendung findet,</w:t>
      </w:r>
    </w:p>
    <w:p>
      <w:pPr>
        <w:ind w:left="780"/>
      </w:pPr>
      <w:r>
        <w:t xml:space="preserve">b) wenn sie von einer Kapitalgesellschaft oder Genossenschaft an einen Anteilseigner gezahlt werden, der zu mindestens 10 Prozent an der Gesellschaft oder Genossenschaft beteiligt ist, soweit die den Kapitalerträgen entsprechenden Aufwendungen beim Schuldner Betriebsausgaben oder Werbungskosten im Zusammenhang mit Einkünften sind, die der inländischen Besteuerung unterliegen und § 20 Absatz 9 Satz 1 zweiter Halbsatz keine Anwendung findet. 2Dies gilt auch, wenn der Gläubiger der Kapitalerträge eine dem Anteilseigner nahe stehende Person ist, oder</w:t>
      </w:r>
    </w:p>
    <w:p>
      <w:pPr>
        <w:ind w:left="780"/>
      </w:pPr>
      <w:r>
        <w:t xml:space="preserve">c) soweit ein Dritter die Kapitalerträge schuldet und diese Kapitalanlage im Zusammenhang mit einer Kapitalüberlassung an einen Betrieb des Gläubigers steht. 2Dies gilt entsprechend, wenn Kapital überlassen wird</w:t>
      </w:r>
    </w:p>
    <w:p>
      <w:pPr>
        <w:ind w:left="1140"/>
      </w:pPr>
      <w:r>
        <w:t xml:space="preserve">aa) an eine dem Gläubiger der Kapitalerträge nahestehende Person oder</w:t>
      </w:r>
    </w:p>
    <w:p>
      <w:pPr>
        <w:ind w:left="1140"/>
      </w:pPr>
      <w:r>
        <w:t xml:space="preserve">bb) an eine Personengesellschaft, bei der der Gläubiger der Kapitalerträge oder eine diesem nahestehende Person als Mitunternehmer beteiligt ist oder</w:t>
      </w:r>
    </w:p>
    <w:p>
      <w:pPr>
        <w:ind w:left="1140"/>
      </w:pPr>
      <w:r>
        <w:t xml:space="preserve">cc) an eine Kapitalgesellschaft oder Genossenschaft, an der der Gläubiger der Kapitalerträge oder eine diesem nahestehende Person zu mindestens 10 Prozent beteiligt ist,</w:t>
      </w:r>
    </w:p>
    <w:p>
      <w:pPr>
        <w:ind w:left="780"/>
      </w:pPr>
      <w:r>
        <w:t xml:space="preserve">sofern der Dritte auf den Gläubiger oder eine diesem nahestehende Person zurückgreifen kann. 3Ein Zusammenhang ist anzunehmen, wenn die Kapitalanlage und die Kapitalüberlassung auf einem einheitlichen Plan beruhen. 4Hiervon ist insbesondere dann auszugehen, wenn die Kapitalüberlassung in engem zeitlichen Zusammenhang mit einer Kapitalanlage steht oder die jeweiligen Zinsvereinbarungen miteinander verknüpft sind. 5Von einem Zusammenhang ist jedoch nicht auszugehen, wenn die Zinsvereinbarungen marktüblich sind oder die Anwendung des Absatzes 1 beim Steuerpflichtigen zu keinem Belastungsvorteil führt. 6Die Sätze 1 bis 5 gelten sinngemäß, wenn das überlassene Kapital vom Gläubiger der Kapitalerträge für die Erzielung von Einkünften im Sinne des § 2 Absatz 1 Satz 1 Nummer 4, 6 und 7 eingesetzt wird.</w:t>
      </w:r>
    </w:p>
    <w:p>
      <w:pPr>
        <w:ind w:left="420"/>
      </w:pPr>
      <w:r>
        <w:t xml:space="preserve">2Insoweit findet § 20 Absatz 6 und 9 keine Anwendung;</w:t>
      </w:r>
    </w:p>
    <w:p>
      <w:pPr>
        <w:ind w:left="420"/>
      </w:pPr>
      <w:r>
        <w:t xml:space="preserve">2. für Kapitalerträge im Sinne des § 20 Absatz 1 Nummer 6 Satz 2. 2Insoweit findet § 20 Absatz 6 keine Anwendung;</w:t>
      </w:r>
    </w:p>
    <w:p>
      <w:pPr>
        <w:ind w:left="420"/>
      </w:pPr>
      <w:r>
        <w:t xml:space="preserve">3. auf Antrag für Kapitalerträge im Sinne des § 20 Absatz 1 Nummer 1 und 2 aus einer Beteiligung an einer Kapitalgesellschaft, wenn der Steuerpflichtige im Veranlagungszeitraum, für den der Antrag erstmals gestellt wird, unmittelbar oder mittelbar</w:t>
      </w:r>
    </w:p>
    <w:p>
      <w:pPr>
        <w:ind w:left="780"/>
      </w:pPr>
      <w:r>
        <w:t xml:space="preserve">a) zu mindestens 25 Prozent an der Kapitalgesellschaft beteiligt ist oder</w:t>
      </w:r>
    </w:p>
    <w:p>
      <w:pPr>
        <w:ind w:left="780"/>
      </w:pPr>
      <w:r>
        <w:t xml:space="preserve">b) zu mindestens 1 Prozent an der Kapitalgesellschaft beteiligt ist und durch eine berufliche Tätigkeit für diese maßgeblichen unternehmerischen Einfluss auf deren wirtschaftliche Tätigkeit nehmen kann.</w:t>
      </w:r>
    </w:p>
    <w:p>
      <w:pPr>
        <w:ind w:left="420"/>
      </w:pPr>
      <w:r>
        <w:t xml:space="preserve">2Insoweit finden § 3 Nummer 40 Satz 2 und § 20 Absatz 6 und 9 keine Anwendung. 3Der Antrag gilt für die jeweilige Beteiligung erstmals für den Veranlagungszeitraum, für den er gestellt worden ist. 4Er ist spätestens zusammen mit der Einkommensteuererklärung für den jeweiligen Veranlagungszeitraum zu stellen und gilt, solange er nicht widerrufen wird, auch für die folgenden vier Veranlagungszeiträume, ohne dass die Antragsvoraussetzungen erneut zu belegen sind. 5Die Widerrufserklärung muss dem Finanzamt spätestens mit der Steuererklärung für den Veranlagungszeitraum zugehen, für den die Sätze 1 bis 4 erstmals nicht mehr angewandt werden sollen. 6Nach einem Widerruf ist ein erneuter Antrag des Steuerpflichtigen für diese Beteiligung an der Kapitalgesellschaft nicht mehr zulässig;</w:t>
      </w:r>
    </w:p>
    <w:p>
      <w:pPr>
        <w:ind w:left="420"/>
      </w:pPr>
      <w:r>
        <w:t xml:space="preserve">4. für Bezüge im Sinne des § 20 Absatz 1 Nummer 1 und für Einnahmen im Sinne des § 20 Absatz 1 Nummer 9, soweit sie das Einkommen der leistenden Körperschaft gemindert haben; dies gilt nicht, soweit eine verdeckte Gewinnausschüttung das Einkommen einer dem Steuerpflichtigen nahe stehenden Person erhöht hat und § 32a des Körperschaftsteuergesetzes auf die Veranlagung dieser nahe stehenden Person keine Anwendung findet.</w:t>
      </w:r>
    </w:p>
    <w:p>
      <w:r>
        <w:t xml:space="preserve">(3) 1Steuerpflichtige Kapitalerträge, die nicht der Kapitalertragsteuer unterlegen haben, hat der Steuerpflichtige in seiner Einkommensteuererklärung anzugeben. 2Für diese Kapitalerträge erhöht sich die tarifliche Einkommensteuer um den nach Absatz 1 ermittelten Betrag. 3Im Fall des Satzes 1 ist eine Veranlagung ungeachtet von § 46 Absatz 2 durchzuführen.</w:t>
      </w:r>
    </w:p>
    <w:p>
      <w:r>
        <w:t xml:space="preserve">(4) Der Steuerpflichtige kann mit der Einkommensteuererklärung für Kapitalerträge, die der Kapitalertragsteuer unterlegen haben, eine Steuerfestsetzung entsprechend Absatz 3 Satz 2 insbesondere in Fällen eines nicht vollständig ausgeschöpften Sparer-Pauschbetrags, einer Anwendung der Ersatzbemessungsgrundlage nach § 43a Absatz 2 Satz 7, eines noch nicht im Rahmen des § 43a Absatz 3 berücksichtigten Verlusts, eines Verlustvortrags nach § 20 Absatz 6 und noch nicht berücksichtigter ausländischer Steuern, zur Überprüfung des Steuereinbehalts dem Grund oder der Höhe nach oder zur Anwendung von Absatz 1 Satz 3 beantragen.</w:t>
      </w:r>
    </w:p>
    <w:p>
      <w:r>
        <w:t xml:space="preserve">(5) 1In den Fällen der Absätze 3 und 4 ist bei unbeschränkt Steuerpflichtigen, die mit ausländischen Kapitalerträgen in dem Staat, aus dem die Kapitalerträge stammen, zu einer der deutschen Einkommensteuer entsprechenden Steuer herangezogen werden, die auf ausländische Kapitalerträge festgesetzte und gezahlte und um einen entstandenen Ermäßigungsanspruch gekürzte ausländische Steuer, jedoch höchstens 25 Prozent ausländische Steuer auf den einzelnen steuerpflichtigen Kapitalertrag, auf die deutsche Steuer anzurechnen. 2Soweit in einem Abkommen zur Vermeidung der Doppelbesteuerung die Anrechnung einer ausländischen Steuer einschließlich einer als gezahlt geltenden Steuer auf die deutsche Steuer vorgesehen ist, gilt Satz 1 entsprechend. 3Die ausländischen Steuern sind nur bis zur Höhe der auf die im jeweiligen Veranlagungszeitraum bezogenen Kapitalerträge im Sinne des Satzes 1 entfallenden deutschen Steuer anzurechnen.</w:t>
      </w:r>
    </w:p>
    <w:p>
      <w:r>
        <w:t xml:space="preserve">(6) 1Auf Antrag des Steuerpflichtigen werden anstelle der Anwendung der Absätze 1, 3 und 4 die nach § 20 ermittelten Kapitaleinkünfte den Einkünften im Sinne des § 2 hinzugerechnet und der tariflichen Einkommensteuer unterworfen, wenn dies zu einer niedrigeren Einkommensteuer einschließlich Zuschlagsteuern führt (Günstigerprüfung). 2Absatz 5 ist mit der Maßgabe anzuwenden, dass die nach dieser Vorschrift ermittelten ausländischen Steuern auf die zusätzliche tarifliche Einkommensteuer anzurechnen sind, die auf die hinzugerechneten Kapitaleinkünfte entfällt. 3Der Antrag kann für den jeweiligen Veranlagungszeitraum nur einheitlich für sämtliche Kapitalerträge gestellt werden. 4Bei zusammenveranlagten Ehegatten kann der Antrag nur für sämtliche Kapitalerträge beider Ehegatten gestellt werden.</w:t>
      </w:r>
    </w:p>
    <w:p>
      <w:r>
        <w:rPr>
          <w:color w:val="555555"/>
          <w:sz w:val="17"/>
        </w:rPr>
        <w:t xml:space="preserve">Zitiervorschlag: § 32d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https://recht.nulegal.eu/gesetze/EStG/32d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