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26b EStG — Zusammenveranlagung von Ehegatten</w:t>
      </w:r>
    </w:p>
    <w:p>
      <w:r>
        <w:rPr>
          <w:color w:val="555555"/>
          <w:sz w:val="18"/>
        </w:rPr>
        <w:t xml:space="preserve">Einkommensteuergesetz</w:t>
      </w:r>
    </w:p>
    <w:p>
      <w:r>
        <w:rPr>
          <w:color w:val="555555"/>
          <w:sz w:val="18"/>
        </w:rPr>
        <w:t xml:space="preserve">Stand: 10.06.2019 (konsolidierte Textfassung, kein amtliches Inkrafttretensdatum)</w:t>
      </w:r>
    </w:p>
    <w:p>
      <w:r>
        <w:t xml:space="preserve">Bei der Zusammenveranlagung von Ehegatten werden die Einkünfte, die die Ehegatten erzielt haben, zusammengerechnet, den Ehegatten gemeinsam zugerechnet und, soweit nichts anderes vorgeschrieben ist, die Ehegatten sodann gemeinsam als Steuerpflichtiger behandelt.</w:t>
      </w:r>
    </w:p>
    <w:p>
      <w:r>
        <w:rPr>
          <w:color w:val="555555"/>
          <w:sz w:val="17"/>
        </w:rPr>
        <w:t xml:space="preserve">Zitiervorschlag: § 26b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https://recht.nulegal.eu/gesetze/EStG/26b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