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EStG — Veranlagung von Ehegatten</w:t>
      </w:r>
    </w:p>
    <w:p>
      <w:r>
        <w:rPr>
          <w:color w:val="555555"/>
          <w:sz w:val="18"/>
        </w:rPr>
        <w:t xml:space="preserve">Einkommensteuergesetz</w:t>
      </w:r>
    </w:p>
    <w:p>
      <w:r>
        <w:rPr>
          <w:color w:val="555555"/>
          <w:sz w:val="18"/>
        </w:rPr>
        <w:t xml:space="preserve">Stand: 10.06.2019 (konsolidierte Textfassung, kein amtliches Inkrafttretensdatum)</w:t>
      </w:r>
    </w:p>
    <w:p>
      <w:r>
        <w:t xml:space="preserve">(1) 1Ehegatten können zwischen der Einzelveranlagung (§ 26a) und der Zusammenveranlagung (§ 26b) wählen, wenn</w:t>
      </w:r>
    </w:p>
    <w:p>
      <w:pPr>
        <w:ind w:left="420"/>
      </w:pPr>
      <w:r>
        <w:t xml:space="preserve">1. beide unbeschränkt einkommensteuerpflichtig im Sinne des § 1 Absatz 1 oder 2 oder des § 1a sind,</w:t>
      </w:r>
    </w:p>
    <w:p>
      <w:pPr>
        <w:ind w:left="420"/>
      </w:pPr>
      <w:r>
        <w:t xml:space="preserve">2. sie nicht dauernd getrennt leben und</w:t>
      </w:r>
    </w:p>
    <w:p>
      <w:pPr>
        <w:ind w:left="420"/>
      </w:pPr>
      <w:r>
        <w:t xml:space="preserve">3. bei ihnen die Voraussetzungen aus den Nummern 1 und 2 zu Beginn des Veranlagungszeitraums vorgelegen haben oder im Laufe des Veranlagungszeitraums eingetreten sind.</w:t>
      </w:r>
    </w:p>
    <w:p>
      <w:r>
        <w:t xml:space="preserve">2Hat ein Ehegatte in dem Veranlagungszeitraum, in dem seine zuvor bestehende Ehe aufgelöst worden ist, eine neue Ehe geschlossen und liegen bei ihm und dem neuen Ehegatten die Voraussetzungen des Satzes 1 vor, bleibt die zuvor bestehende Ehe für die Anwendung des Satzes 1 unberücksichtigt.</w:t>
      </w:r>
    </w:p>
    <w:p>
      <w:r>
        <w:t xml:space="preserve">(2) 1Ehegatten werden einzeln veranlagt, wenn einer der Ehegatten die Einzelveranlagung wählt. 2Ehegatten werden zusammen veranlagt, wenn beide Ehegatten die Zusammenveranlagung wählen. 3Die Wahl wird für den betreffenden Veranlagungszeitraum durch Angabe in der Steuererklärung getroffen. 4Die Wahl der Veranlagungsart innerhalb eines Veranlagungszeitraums kann nach Eintritt der Unanfechtbarkeit des Steuerbescheids nur noch geändert werden, wenn</w:t>
      </w:r>
    </w:p>
    <w:p>
      <w:pPr>
        <w:ind w:left="420"/>
      </w:pPr>
      <w:r>
        <w:t xml:space="preserve">1. ein Steuerbescheid, der die Ehegatten betrifft, aufgehoben, geändert oder berichtigt wird und</w:t>
      </w:r>
    </w:p>
    <w:p>
      <w:pPr>
        <w:ind w:left="420"/>
      </w:pPr>
      <w:r>
        <w:t xml:space="preserve">2. die Änderung der Wahl der Veranlagungsart der zuständigen Finanzbehörde bis zum Eintritt der Unanfechtbarkeit des Änderungs- oder Berichtigungsbescheids schriftlich oder elektronisch mitgeteilt oder zur Niederschrift erklärt worden ist und</w:t>
      </w:r>
    </w:p>
    <w:p>
      <w:pPr>
        <w:ind w:left="420"/>
      </w:pPr>
      <w:r>
        <w:t xml:space="preserve">3. der Unterschiedsbetrag aus der Differenz der festgesetzten Einkommensteuer entsprechend der bisher gewählten Veranlagungsart und der festzusetzenden Einkommensteuer, die sich bei einer geänderten Ausübung der Wahl der Veranlagungsarten ergeben würde, positiv ist. 2Die Einkommensteuer der einzeln veranlagten Ehegatten ist hierbei zusammenzurechnen.</w:t>
      </w:r>
    </w:p>
    <w:p>
      <w:r>
        <w:t xml:space="preserve">(3) Wird von dem Wahlrecht nach Absatz 2 nicht oder nicht wirksam Gebrauch gemacht, so ist eine Zusammenveranlagung durchzuführen.</w:t>
      </w:r>
    </w:p>
    <w:p>
      <w:r>
        <w:rPr>
          <w:color w:val="555555"/>
          <w:sz w:val="17"/>
        </w:rPr>
        <w:t xml:space="preserve">Zitiervorschlag: § 26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