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EStG — Veranlagungszeitraum, Steuererklärungspflicht</w:t>
      </w:r>
    </w:p>
    <w:p>
      <w:r>
        <w:rPr>
          <w:color w:val="555555"/>
          <w:sz w:val="18"/>
        </w:rPr>
        <w:t xml:space="preserve">Einkommensteuergesetz</w:t>
      </w:r>
    </w:p>
    <w:p>
      <w:r>
        <w:rPr>
          <w:color w:val="555555"/>
          <w:sz w:val="18"/>
        </w:rPr>
        <w:t xml:space="preserve">Stand: 10.06.2019 (konsolidierte Textfassung, kein amtliches Inkrafttretensdatum)</w:t>
      </w:r>
    </w:p>
    <w:p>
      <w:r>
        <w:t xml:space="preserve">(1) Die Einkommensteuer wird nach Ablauf des Kalenderjahres (Veranlagungszeitraum) nach dem Einkommen veranlagt, das der Steuerpflichtige in diesem Veranlagungszeitraum bezogen hat, soweit nicht nach § 43 Absatz 5 und § 46 eine Veranlagung unterbleibt.</w:t>
      </w:r>
    </w:p>
    <w:p>
      <w:r>
        <w:t xml:space="preserve">(2) (weggefallen)</w:t>
      </w:r>
    </w:p>
    <w:p>
      <w:r>
        <w:t xml:space="preserve">(3) 1Die steuerpflichtige Person hat für den Veranlagungszeitraum eine eigenhändig unterschriebene Einkommensteuererklärung abzugeben. 2Wählen Ehegatten die Zusammenveranlagung (§ 26b), haben sie eine gemeinsame Steuererklärung abzugeben, die von beiden eigenhändig zu unterschreiben ist.</w:t>
      </w:r>
    </w:p>
    <w:p>
      <w:r>
        <w:t xml:space="preserve">(4) 1Die Erklärung nach Absatz 3 ist nach amtlich vorgeschriebenem Datensatz durch Datenfernübertragung zu übermitteln, wenn Einkünfte nach § 2 Absatz 1 Satz 1 Nummer 1 bis 3 erzielt werden und es sich nicht um einen der Veranlagungsfälle gemäß § 46 Absatz 2 Nummer 2 bis 8 handelt. 2Auf Antrag kann die Finanzbehörde zur Vermeidung unbilliger Härten auf eine Übermittlung durch Datenfernübertragung verzichten.</w:t>
      </w:r>
    </w:p>
    <w:p>
      <w:r>
        <w:rPr>
          <w:color w:val="555555"/>
          <w:sz w:val="17"/>
        </w:rPr>
        <w:t xml:space="preserve">Zitiervorschlag: § 25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