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24a EStG — Altersentlastungsbetrag</w:t>
      </w:r>
    </w:p>
    <w:p>
      <w:r>
        <w:rPr>
          <w:color w:val="555555"/>
          <w:sz w:val="18"/>
        </w:rPr>
        <w:t xml:space="preserve">Einkommensteuergesetz</w:t>
      </w:r>
    </w:p>
    <w:p>
      <w:r>
        <w:rPr>
          <w:color w:val="555555"/>
          <w:sz w:val="18"/>
        </w:rPr>
        <w:t xml:space="preserve">Stand: 04.04.2024 (konsolidierte Textfassung, kein amtliches Inkrafttretensdatum)</w:t>
      </w:r>
    </w:p>
    <w:p>
      <w:r>
        <w:t xml:space="preserve">1Der Altersentlastungsbetrag ist bis zu einem Höchstbetrag im Kalenderjahr ein nach einem Prozentsatz ermittelter Betrag des Arbeitslohns und der positiven Summe der Einkünfte, die nicht solche aus nichtselbständiger Arbeit sind. 2Bei der Bemessung des Betrags bleiben außer Betracht:</w:t>
      </w:r>
    </w:p>
    <w:p>
      <w:pPr>
        <w:ind w:left="420"/>
      </w:pPr>
      <w:r>
        <w:t xml:space="preserve">1. Versorgungsbezüge im Sinne des § 19 Absatz 2;</w:t>
      </w:r>
    </w:p>
    <w:p>
      <w:pPr>
        <w:ind w:left="420"/>
      </w:pPr>
      <w:r>
        <w:t xml:space="preserve">2. Einkünfte aus Leibrenten im Sinne des § 22 Nummer 1 Satz 3 Buchstabe a;</w:t>
      </w:r>
    </w:p>
    <w:p>
      <w:pPr>
        <w:ind w:left="420"/>
      </w:pPr>
      <w:r>
        <w:t xml:space="preserve">3. Einkünfte im Sinne des § 22 Nummer 4 Satz 4 Buchstabe b;</w:t>
      </w:r>
    </w:p>
    <w:p>
      <w:pPr>
        <w:ind w:left="420"/>
      </w:pPr>
      <w:r>
        <w:t xml:space="preserve">4. Einkünfte im Sinne des § 22 Nummer 5 Satz 1, soweit § 22 Nummer 5 Satz 11 anzuwenden ist;</w:t>
      </w:r>
    </w:p>
    <w:p>
      <w:pPr>
        <w:ind w:left="420"/>
      </w:pPr>
      <w:r>
        <w:t xml:space="preserve">5. Einkünfte im Sinne des § 22 Nummer 5 Satz 2 Buchstabe a.</w:t>
      </w:r>
    </w:p>
    <w:p>
      <w:r>
        <w:t xml:space="preserve">3Der Altersentlastungsbetrag wird einem Steuerpflichtigen gewährt, der vor dem Beginn des Kalenderjahres, in dem er sein Einkommen bezogen hat, das 64. Lebensjahr vollendet hatte. 4Im Fall der Zusammenveranlagung von Ehegatten zur Einkommensteuer sind die Sätze 1 bis 3 für jeden Ehegatten gesondert anzuwenden. 5Der maßgebende Prozentsatz und der Höchstbetrag des Altersentlastungsbetrags sind der nachstehenden Tabelle zu entnehmen:</w:t>
      </w:r>
    </w:p>
    <w:p>
      <w:r>
        <w:rPr>
          <w:rFonts w:ascii="Courier New" w:hAnsi="Courier New"/>
          <w:sz w:val="17"/>
        </w:rPr>
        <w:t xml:space="preserve">Das auf die Vollendung des 64. Lebensjahres folgende Kalenderjahr    Altersentlastungsbetrag</w:t>
      </w:r>
    </w:p>
    <w:p>
      <w:r>
        <w:rPr>
          <w:rFonts w:ascii="Courier New" w:hAnsi="Courier New"/>
          <w:sz w:val="17"/>
        </w:rPr>
        <w:t xml:space="preserve">in % der Einkünfte    Höchstbetrag in Euro</w:t>
      </w:r>
    </w:p>
    <w:p>
      <w:r>
        <w:rPr>
          <w:rFonts w:ascii="Courier New" w:hAnsi="Courier New"/>
          <w:sz w:val="17"/>
        </w:rPr>
        <w:t xml:space="preserve">2005    40,0    1 900</w:t>
      </w:r>
    </w:p>
    <w:p>
      <w:r>
        <w:rPr>
          <w:rFonts w:ascii="Courier New" w:hAnsi="Courier New"/>
          <w:sz w:val="17"/>
        </w:rPr>
        <w:t xml:space="preserve">2006    38,4    1 824</w:t>
      </w:r>
    </w:p>
    <w:p>
      <w:r>
        <w:rPr>
          <w:rFonts w:ascii="Courier New" w:hAnsi="Courier New"/>
          <w:sz w:val="17"/>
        </w:rPr>
        <w:t xml:space="preserve">2007    36,8    1 748</w:t>
      </w:r>
    </w:p>
    <w:p>
      <w:r>
        <w:rPr>
          <w:rFonts w:ascii="Courier New" w:hAnsi="Courier New"/>
          <w:sz w:val="17"/>
        </w:rPr>
        <w:t xml:space="preserve">2008    35,2    1 672</w:t>
      </w:r>
    </w:p>
    <w:p>
      <w:r>
        <w:rPr>
          <w:rFonts w:ascii="Courier New" w:hAnsi="Courier New"/>
          <w:sz w:val="17"/>
        </w:rPr>
        <w:t xml:space="preserve">2009    33,6    1 596</w:t>
      </w:r>
    </w:p>
    <w:p>
      <w:r>
        <w:rPr>
          <w:rFonts w:ascii="Courier New" w:hAnsi="Courier New"/>
          <w:sz w:val="17"/>
        </w:rPr>
        <w:t xml:space="preserve">2010    32,0    1 520</w:t>
      </w:r>
    </w:p>
    <w:p>
      <w:r>
        <w:rPr>
          <w:rFonts w:ascii="Courier New" w:hAnsi="Courier New"/>
          <w:sz w:val="17"/>
        </w:rPr>
        <w:t xml:space="preserve">2011    30,4    1 444</w:t>
      </w:r>
    </w:p>
    <w:p>
      <w:r>
        <w:rPr>
          <w:rFonts w:ascii="Courier New" w:hAnsi="Courier New"/>
          <w:sz w:val="17"/>
        </w:rPr>
        <w:t xml:space="preserve">2012    28,8    1 368</w:t>
      </w:r>
    </w:p>
    <w:p>
      <w:r>
        <w:rPr>
          <w:rFonts w:ascii="Courier New" w:hAnsi="Courier New"/>
          <w:sz w:val="17"/>
        </w:rPr>
        <w:t xml:space="preserve">2013    27,2    1 292</w:t>
      </w:r>
    </w:p>
    <w:p>
      <w:r>
        <w:rPr>
          <w:rFonts w:ascii="Courier New" w:hAnsi="Courier New"/>
          <w:sz w:val="17"/>
        </w:rPr>
        <w:t xml:space="preserve">2014    25,6    1 216</w:t>
      </w:r>
    </w:p>
    <w:p>
      <w:r>
        <w:rPr>
          <w:rFonts w:ascii="Courier New" w:hAnsi="Courier New"/>
          <w:sz w:val="17"/>
        </w:rPr>
        <w:t xml:space="preserve">2015    24,0    1 140</w:t>
      </w:r>
    </w:p>
    <w:p>
      <w:r>
        <w:rPr>
          <w:rFonts w:ascii="Courier New" w:hAnsi="Courier New"/>
          <w:sz w:val="17"/>
        </w:rPr>
        <w:t xml:space="preserve">2016    22,4    1 064</w:t>
      </w:r>
    </w:p>
    <w:p>
      <w:r>
        <w:rPr>
          <w:rFonts w:ascii="Courier New" w:hAnsi="Courier New"/>
          <w:sz w:val="17"/>
        </w:rPr>
        <w:t xml:space="preserve">2017    20,8    988</w:t>
      </w:r>
    </w:p>
    <w:p>
      <w:r>
        <w:rPr>
          <w:rFonts w:ascii="Courier New" w:hAnsi="Courier New"/>
          <w:sz w:val="17"/>
        </w:rPr>
        <w:t xml:space="preserve">2018    19,2    912</w:t>
      </w:r>
    </w:p>
    <w:p>
      <w:r>
        <w:rPr>
          <w:rFonts w:ascii="Courier New" w:hAnsi="Courier New"/>
          <w:sz w:val="17"/>
        </w:rPr>
        <w:t xml:space="preserve">2019    17,6    836</w:t>
      </w:r>
    </w:p>
    <w:p>
      <w:r>
        <w:rPr>
          <w:rFonts w:ascii="Courier New" w:hAnsi="Courier New"/>
          <w:sz w:val="17"/>
        </w:rPr>
        <w:t xml:space="preserve">2020    16,0    760</w:t>
      </w:r>
    </w:p>
    <w:p>
      <w:r>
        <w:rPr>
          <w:rFonts w:ascii="Courier New" w:hAnsi="Courier New"/>
          <w:sz w:val="17"/>
        </w:rPr>
        <w:t xml:space="preserve">2021    15,2    722</w:t>
      </w:r>
    </w:p>
    <w:p>
      <w:r>
        <w:rPr>
          <w:rFonts w:ascii="Courier New" w:hAnsi="Courier New"/>
          <w:sz w:val="17"/>
        </w:rPr>
        <w:t xml:space="preserve">2022    14,4    684</w:t>
      </w:r>
    </w:p>
    <w:p>
      <w:r>
        <w:rPr>
          <w:rFonts w:ascii="Courier New" w:hAnsi="Courier New"/>
          <w:sz w:val="17"/>
        </w:rPr>
        <w:t xml:space="preserve">2023    14,0    665</w:t>
      </w:r>
    </w:p>
    <w:p>
      <w:r>
        <w:rPr>
          <w:rFonts w:ascii="Courier New" w:hAnsi="Courier New"/>
          <w:sz w:val="17"/>
        </w:rPr>
        <w:t xml:space="preserve">2024    13,6    646</w:t>
      </w:r>
    </w:p>
    <w:p>
      <w:r>
        <w:rPr>
          <w:rFonts w:ascii="Courier New" w:hAnsi="Courier New"/>
          <w:sz w:val="17"/>
        </w:rPr>
        <w:t xml:space="preserve">2025    13,2    627</w:t>
      </w:r>
    </w:p>
    <w:p>
      <w:r>
        <w:rPr>
          <w:rFonts w:ascii="Courier New" w:hAnsi="Courier New"/>
          <w:sz w:val="17"/>
        </w:rPr>
        <w:t xml:space="preserve">2026    12,8    608</w:t>
      </w:r>
    </w:p>
    <w:p>
      <w:r>
        <w:rPr>
          <w:rFonts w:ascii="Courier New" w:hAnsi="Courier New"/>
          <w:sz w:val="17"/>
        </w:rPr>
        <w:t xml:space="preserve">2027    12,4    589</w:t>
      </w:r>
    </w:p>
    <w:p>
      <w:r>
        <w:rPr>
          <w:rFonts w:ascii="Courier New" w:hAnsi="Courier New"/>
          <w:sz w:val="17"/>
        </w:rPr>
        <w:t xml:space="preserve">2028    12,0    570</w:t>
      </w:r>
    </w:p>
    <w:p>
      <w:r>
        <w:rPr>
          <w:rFonts w:ascii="Courier New" w:hAnsi="Courier New"/>
          <w:sz w:val="17"/>
        </w:rPr>
        <w:t xml:space="preserve">2029    11,6    551</w:t>
      </w:r>
    </w:p>
    <w:p>
      <w:r>
        <w:rPr>
          <w:rFonts w:ascii="Courier New" w:hAnsi="Courier New"/>
          <w:sz w:val="17"/>
        </w:rPr>
        <w:t xml:space="preserve">2030    11,2    532</w:t>
      </w:r>
    </w:p>
    <w:p>
      <w:r>
        <w:rPr>
          <w:rFonts w:ascii="Courier New" w:hAnsi="Courier New"/>
          <w:sz w:val="17"/>
        </w:rPr>
        <w:t xml:space="preserve">2031    10,8    513</w:t>
      </w:r>
    </w:p>
    <w:p>
      <w:r>
        <w:rPr>
          <w:rFonts w:ascii="Courier New" w:hAnsi="Courier New"/>
          <w:sz w:val="17"/>
        </w:rPr>
        <w:t xml:space="preserve">2032    10,4    494</w:t>
      </w:r>
    </w:p>
    <w:p>
      <w:r>
        <w:rPr>
          <w:rFonts w:ascii="Courier New" w:hAnsi="Courier New"/>
          <w:sz w:val="17"/>
        </w:rPr>
        <w:t xml:space="preserve">2033    10,0    475</w:t>
      </w:r>
    </w:p>
    <w:p>
      <w:r>
        <w:rPr>
          <w:rFonts w:ascii="Courier New" w:hAnsi="Courier New"/>
          <w:sz w:val="17"/>
        </w:rPr>
        <w:t xml:space="preserve">2034    9,6    456</w:t>
      </w:r>
    </w:p>
    <w:p>
      <w:r>
        <w:rPr>
          <w:rFonts w:ascii="Courier New" w:hAnsi="Courier New"/>
          <w:sz w:val="17"/>
        </w:rPr>
        <w:t xml:space="preserve">2035    9,2    437</w:t>
      </w:r>
    </w:p>
    <w:p>
      <w:r>
        <w:rPr>
          <w:rFonts w:ascii="Courier New" w:hAnsi="Courier New"/>
          <w:sz w:val="17"/>
        </w:rPr>
        <w:t xml:space="preserve">2036    8,8    418</w:t>
      </w:r>
    </w:p>
    <w:p>
      <w:r>
        <w:rPr>
          <w:rFonts w:ascii="Courier New" w:hAnsi="Courier New"/>
          <w:sz w:val="17"/>
        </w:rPr>
        <w:t xml:space="preserve">2037    8,4    399</w:t>
      </w:r>
    </w:p>
    <w:p>
      <w:r>
        <w:rPr>
          <w:rFonts w:ascii="Courier New" w:hAnsi="Courier New"/>
          <w:sz w:val="17"/>
        </w:rPr>
        <w:t xml:space="preserve">2038    8,0    380</w:t>
      </w:r>
    </w:p>
    <w:p>
      <w:r>
        <w:rPr>
          <w:rFonts w:ascii="Courier New" w:hAnsi="Courier New"/>
          <w:sz w:val="17"/>
        </w:rPr>
        <w:t xml:space="preserve">2039    7,6    361</w:t>
      </w:r>
    </w:p>
    <w:p>
      <w:r>
        <w:rPr>
          <w:rFonts w:ascii="Courier New" w:hAnsi="Courier New"/>
          <w:sz w:val="17"/>
        </w:rPr>
        <w:t xml:space="preserve">2040    7,2    342</w:t>
      </w:r>
    </w:p>
    <w:p>
      <w:r>
        <w:rPr>
          <w:rFonts w:ascii="Courier New" w:hAnsi="Courier New"/>
          <w:sz w:val="17"/>
        </w:rPr>
        <w:t xml:space="preserve">2041    6,8    323</w:t>
      </w:r>
    </w:p>
    <w:p>
      <w:r>
        <w:rPr>
          <w:rFonts w:ascii="Courier New" w:hAnsi="Courier New"/>
          <w:sz w:val="17"/>
        </w:rPr>
        <w:t xml:space="preserve">2042    6,4    304</w:t>
      </w:r>
    </w:p>
    <w:p>
      <w:r>
        <w:rPr>
          <w:rFonts w:ascii="Courier New" w:hAnsi="Courier New"/>
          <w:sz w:val="17"/>
        </w:rPr>
        <w:t xml:space="preserve">2043    6,0    285</w:t>
      </w:r>
    </w:p>
    <w:p>
      <w:r>
        <w:rPr>
          <w:rFonts w:ascii="Courier New" w:hAnsi="Courier New"/>
          <w:sz w:val="17"/>
        </w:rPr>
        <w:t xml:space="preserve">2044    5,6    266</w:t>
      </w:r>
    </w:p>
    <w:p>
      <w:r>
        <w:rPr>
          <w:rFonts w:ascii="Courier New" w:hAnsi="Courier New"/>
          <w:sz w:val="17"/>
        </w:rPr>
        <w:t xml:space="preserve">2045    5,2    247</w:t>
      </w:r>
    </w:p>
    <w:p>
      <w:r>
        <w:rPr>
          <w:rFonts w:ascii="Courier New" w:hAnsi="Courier New"/>
          <w:sz w:val="17"/>
        </w:rPr>
        <w:t xml:space="preserve">2046    4,8    228</w:t>
      </w:r>
    </w:p>
    <w:p>
      <w:r>
        <w:rPr>
          <w:rFonts w:ascii="Courier New" w:hAnsi="Courier New"/>
          <w:sz w:val="17"/>
        </w:rPr>
        <w:t xml:space="preserve">2047    4,4    209</w:t>
      </w:r>
    </w:p>
    <w:p>
      <w:r>
        <w:rPr>
          <w:rFonts w:ascii="Courier New" w:hAnsi="Courier New"/>
          <w:sz w:val="17"/>
        </w:rPr>
        <w:t xml:space="preserve">2048    4,0    190</w:t>
      </w:r>
    </w:p>
    <w:p>
      <w:r>
        <w:rPr>
          <w:rFonts w:ascii="Courier New" w:hAnsi="Courier New"/>
          <w:sz w:val="17"/>
        </w:rPr>
        <w:t xml:space="preserve">2049    3,6    171</w:t>
      </w:r>
    </w:p>
    <w:p>
      <w:r>
        <w:rPr>
          <w:rFonts w:ascii="Courier New" w:hAnsi="Courier New"/>
          <w:sz w:val="17"/>
        </w:rPr>
        <w:t xml:space="preserve">2050    3,2    152</w:t>
      </w:r>
    </w:p>
    <w:p>
      <w:r>
        <w:rPr>
          <w:rFonts w:ascii="Courier New" w:hAnsi="Courier New"/>
          <w:sz w:val="17"/>
        </w:rPr>
        <w:t xml:space="preserve">2051    2,8    133</w:t>
      </w:r>
    </w:p>
    <w:p>
      <w:r>
        <w:rPr>
          <w:rFonts w:ascii="Courier New" w:hAnsi="Courier New"/>
          <w:sz w:val="17"/>
        </w:rPr>
        <w:t xml:space="preserve">2052    2,4    114</w:t>
      </w:r>
    </w:p>
    <w:p>
      <w:r>
        <w:rPr>
          <w:rFonts w:ascii="Courier New" w:hAnsi="Courier New"/>
          <w:sz w:val="17"/>
        </w:rPr>
        <w:t xml:space="preserve">2053    2,0    95</w:t>
      </w:r>
    </w:p>
    <w:p>
      <w:r>
        <w:rPr>
          <w:rFonts w:ascii="Courier New" w:hAnsi="Courier New"/>
          <w:sz w:val="17"/>
        </w:rPr>
        <w:t xml:space="preserve">2054    1,6    76</w:t>
      </w:r>
    </w:p>
    <w:p>
      <w:r>
        <w:rPr>
          <w:rFonts w:ascii="Courier New" w:hAnsi="Courier New"/>
          <w:sz w:val="17"/>
        </w:rPr>
        <w:t xml:space="preserve">2055    1,2    57</w:t>
      </w:r>
    </w:p>
    <w:p>
      <w:r>
        <w:rPr>
          <w:rFonts w:ascii="Courier New" w:hAnsi="Courier New"/>
          <w:sz w:val="17"/>
        </w:rPr>
        <w:t xml:space="preserve">2056    0,8    38</w:t>
      </w:r>
    </w:p>
    <w:p>
      <w:r>
        <w:rPr>
          <w:rFonts w:ascii="Courier New" w:hAnsi="Courier New"/>
          <w:sz w:val="17"/>
        </w:rPr>
        <w:t xml:space="preserve">2057    0,4    19</w:t>
      </w:r>
    </w:p>
    <w:p>
      <w:r>
        <w:rPr>
          <w:rFonts w:ascii="Courier New" w:hAnsi="Courier New"/>
          <w:sz w:val="17"/>
        </w:rPr>
        <w:t xml:space="preserve">2058    0,0    0</w:t>
      </w:r>
    </w:p>
    <w:p>
      <w:r>
        <w:rPr>
          <w:color w:val="555555"/>
          <w:sz w:val="17"/>
        </w:rPr>
        <w:t xml:space="preserve">Zitiervorschlag: § 24a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https://recht.nulegal.eu/gesetze/EStG/24a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