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22a EStG — Rentenbezugsmitteilungen an die zentrale Stelle</w:t>
      </w:r>
    </w:p>
    <w:p>
      <w:r>
        <w:rPr>
          <w:color w:val="555555"/>
          <w:sz w:val="18"/>
        </w:rPr>
        <w:t xml:space="preserve">Einkommensteuergesetz</w:t>
      </w:r>
    </w:p>
    <w:p>
      <w:r>
        <w:rPr>
          <w:color w:val="555555"/>
          <w:sz w:val="18"/>
        </w:rPr>
        <w:t xml:space="preserve">Stand: 01.01.2025 (konsolidierte Textfassung, kein amtliches Inkrafttretensdatum)</w:t>
      </w:r>
    </w:p>
    <w:p>
      <w:r>
        <w:t xml:space="preserve">(1) 1Nach Maßgabe des § 93c der Abgabenordnung haben die Träger der gesetzlichen Rentenversicherung, die landwirtschaftliche Alterskasse, die berufsständischen Versorgungseinrichtungen, die Pensionskassen, die Pensionsfonds, die Versicherungsunternehmen, die Unternehmen, die Verträge im Sinne des § 10 Absatz 1 Nummer 2 Buchstabe b anbieten, und die Anbieter im Sinne des § 80 als mitteilungspflichtige Stellen der zentralen Stelle (§ 81) unter Beachtung der im Bundessteuerblatt veröffentlichten Auslegungsvorschriften der Finanzverwaltung folgende Daten zu übermitteln (Rentenbezugsmitteilung):</w:t>
      </w:r>
    </w:p>
    <w:p>
      <w:pPr>
        <w:ind w:left="420"/>
      </w:pPr>
      <w:r>
        <w:t xml:space="preserve">1. die in § 93c Absatz 1 Nummer 2 Buchstabe c der Abgabenordnung genannten Daten mit der Maßgabe, dass der Leistungsempfänger als Steuerpflichtiger gilt. 2Eine inländische Anschrift des Leistungsempfängers ist nicht zu übermitteln. 3Ist der mitteilungspflichtigen Stelle eine ausländische Anschrift des Leistungsempfängers bekannt, ist diese anzugeben. 4In diesen Fällen ist auch die Staatsangehörigkeit des Leistungsempfängers, soweit bekannt, mitzuteilen;</w:t>
      </w:r>
    </w:p>
    <w:p>
      <w:pPr>
        <w:ind w:left="420"/>
      </w:pPr>
      <w:r>
        <w:t xml:space="preserve">2. je gesondert den Betrag der Leibrenten und anderen Leistungen im Sinne des § 22 Nummer 1 Satz 3 Buchstabe a Doppelbuchstabe aa und bb Satz 4 sowie Doppelbuchstabe bb Satz 5 in Verbindung mit § 55 Absatz 2 der Einkommensteuer-Durchführungsverordnung sowie im Sinne des § 22 Nummer 5 Satz 1 bis 3. 2Der im Betrag der Rente enthaltene Teil, der ausschließlich auf einer Anpassung der Rente beruht, ist gesondert mitzuteilen;</w:t>
      </w:r>
    </w:p>
    <w:p>
      <w:pPr>
        <w:ind w:left="420"/>
      </w:pPr>
      <w:r>
        <w:t xml:space="preserve">3. Zeitpunkt des Beginns und des Endes des jeweiligen Leistungsbezugs; folgen nach dem 31. Dezember 2004 Renten aus derselben Versicherung einander nach, so ist auch die Laufzeit der vorhergehenden Renten mitzuteilen;</w:t>
      </w:r>
    </w:p>
    <w:p>
      <w:pPr>
        <w:ind w:left="420"/>
      </w:pPr>
      <w:r>
        <w:t xml:space="preserve">4. die Beiträge im Sinne des § 10 Absatz 1 Nummer 3 Buchstabe a Satz 1 und 2 und Buchstabe b, soweit diese von der mitteilungspflichtigen Stelle an die Träger der gesetzlichen Kranken- und Pflegeversicherung abgeführt werden;</w:t>
      </w:r>
    </w:p>
    <w:p>
      <w:pPr>
        <w:ind w:left="420"/>
      </w:pPr>
      <w:r>
        <w:t xml:space="preserve">5. die dem Leistungsempfänger zustehenden Beitragszuschüsse nach § 106 des Sechsten Buches Sozialgesetzbuch;</w:t>
      </w:r>
    </w:p>
    <w:p>
      <w:pPr>
        <w:ind w:left="420"/>
      </w:pPr>
      <w:r>
        <w:t xml:space="preserve">6. ab dem 1. Januar 2017 ein gesondertes Merkmal und ab dem 1. Januar 2019 zwei gesonderte Merkmale für Verträge, auf denen gefördertes Altersvorsorgevermögen gebildet wurde; die zentrale Stelle ist in diesen Fällen berechtigt, die Daten dieser Rentenbezugsmitteilung im Zulagekonto zu speichern und zu verarbeiten;</w:t>
      </w:r>
    </w:p>
    <w:p>
      <w:pPr>
        <w:ind w:left="420"/>
      </w:pPr>
      <w:r>
        <w:t xml:space="preserve">7. ab dem 1. Januar 2019 die gesonderte Kennzeichnung einer Leistung aus einem Altersvorsorgevertrag nach § 93 Absatz 3;</w:t>
      </w:r>
    </w:p>
    <w:p>
      <w:pPr>
        <w:ind w:left="420"/>
      </w:pPr>
      <w:r>
        <w:t xml:space="preserve">8. ab dem 1. Januar 2022 die durch Steuerabzug gemäß § 50a Absatz 7 einbehaltenen Beträge.</w:t>
      </w:r>
    </w:p>
    <w:p>
      <w:r>
        <w:t xml:space="preserve">2Die Träger der gesetzlichen Rentenversicherung und die landwirtschaftliche Alterskasse haben gesondert neben der nach Satz 1 zu übermittelnden Rentenbezugsmitteilung für Leistungsempfänger im Sinne des § 1 Absatz 2 des Rentenbeziehende-Energiepreispauschalengesetzes einmalig eine Rentenbezugsmitteilung nach Maßgabe des § 93c der Abgabenordnung mit den Daten nach Satz 1 Nummer 1 und 3 sowie den Betrag der Leistung nach § 1 Absatz 1 des Rentenbeziehende-Energiepreispauschalengesetzes zu übermitteln. 3§ 72a Absatz 4 und § 93c Absatz 1 Nummer 3 der Abgabenordnung finden keine Anwendung.</w:t>
      </w:r>
    </w:p>
    <w:p>
      <w:r>
        <w:t xml:space="preserve">(2) 1Der Leistungsempfänger hat der mitteilungspflichtigen Stelle seine Identifikationsnummer sowie den Tag seiner Geburt mitzuteilen. 2Teilt der Leistungsempfänger die Identifikationsnummer der mitteilungspflichtigen Stelle trotz Aufforderung nicht mit, übermittelt das Bundeszentralamt für Steuern der mitteilungspflichtigen Stelle auf deren Anfrage die Identifikationsnummer des Leistungsempfängers sowie, falls es sich bei der mitteilungspflichtigen Stelle um einen Träger der gesetzlichen Sozialversicherung handelt, auch den beim Bundeszentralamt für Steuern gespeicherten Tag der Geburt des Leistungsempfängers (§ 139b Absatz 3 Nummer 8 der Abgabenordnung), wenn dieser von dem in der Anfrage übermittelten Tag der Geburt abweicht und für die weitere Datenübermittlung benötigt wird; weitere Daten dürfen nicht übermittelt werden. 3In der Anfrage dürfen nur die in § 139b Absatz 3 der Abgabenordnung genannten Daten des Leistungsempfängers angegeben werden, soweit sie der mitteilungspflichtigen Stelle bekannt sind. 4Die Anfrage der mitteilungspflichtigen Stelle und die Antwort des Bundeszentralamtes für Steuern sind nach amtlich vorgeschriebenem Datensatz durch Datenfernübertragung über die zentrale Stelle zu übermitteln. 5Die zentrale Stelle führt eine ausschließlich automatisierte Prüfung der ihr übermittelten Daten daraufhin durch, ob sie vollständig und schlüssig sind und ob das vorgeschriebene Datenformat verwendet worden ist. 6Sie speichert die Daten des Leistungsempfängers nur für Zwecke dieser Prüfung bis zur Übermittlung an das Bundeszentralamt für Steuern oder an die mitteilungspflichtige Stelle. 7Die Daten sind für die Übermittlung zwischen der zentralen Stelle und dem Bundeszentralamt für Steuern zu verschlüsseln. 8Die mitteilungspflichtige Stelle darf die Identifikationsnummer sowie einen nach Satz 2 mitgeteilten Tag der Geburt nur verarbeiten, soweit dies für die Erfüllung der Mitteilungspflicht nach Absatz 1 Satz 1 erforderlich ist. 9§ 93c der Abgabenordnung ist für das Verfahren nach den Sätzen 1 bis 8 nicht anzuwenden. 10Die Sätze 1 bis 9 gelten ab dem 1. Januar 2027 für die mitteilungspflichtige Stelle nach Absatz 1 mit der Maßgabe, dass diese die Identifikationsnummer ihrer Versicherten oder ihrer Kunden zur Durchführung des Rentenübersichtsgesetzes bereits vor dem Leistungsbezug erheben können; in diesen Fällen teilt das Bundeszentralamt für Steuern der mitteilungspflichtigen Stelle auf deren Anfrage die Identifikationsnummer des Versicherten oder des Kunden nur mit, wenn die von der anfragenden Stelle übermittelten Daten mit den nach § 139b Absatz 3 der Abgabenordnung beim Bundeszentralamt für Steuern gespeicherten Daten im maschinellen Datenabgleich übereinstimmen. 11Wird im Rahmen einer Registermodernisierung ein gesondertes Erhebungsverfahren für die Erhebung der Identifikationsnummer eingerichtet, ist abweichend von Satz 10 das neu eingerichtete Erhebungsverfahren zu nutzen.</w:t>
      </w:r>
    </w:p>
    <w:p>
      <w:r>
        <w:t xml:space="preserve">(3) Die mitteilungspflichtige Stelle hat den Leistungsempfänger jeweils darüber zu unterrichten, dass die Leistung der zentralen Stelle mitgeteilt wird.</w:t>
      </w:r>
    </w:p>
    <w:p>
      <w:r>
        <w:t xml:space="preserve">(4) (weggefallen)</w:t>
      </w:r>
    </w:p>
    <w:p>
      <w:r>
        <w:t xml:space="preserve">(5) 1Wird eine Rentenbezugsmitteilung nicht innerhalb der in § 93c Absatz 1 Nummer 1 der Abgabenordnung genannten Frist übermittelt, so ist für jeden angefangenen Monat, in dem die Rentenbezugsmitteilung noch aussteht, ein Betrag in Höhe von 10 Euro für jede ausstehende Rentenbezugsmitteilung an die zentrale Stelle zu entrichten (Verspätungsgeld). 2Die Erhebung erfolgt durch die zentrale Stelle im Rahmen ihrer Prüfung nach § 93c Absatz 4 der Abgabenordnung. 3Von der Erhebung ist abzusehen, soweit die Fristüberschreitung auf Gründen beruht, die die mitteilungspflichtige Stelle nicht zu vertreten hat. 4Das Handeln eines gesetzlichen Vertreters oder eines Erfüllungsgehilfen steht dem eigenen Handeln gleich. 5Das von einer mitteilungspflichtigen Stelle zu entrichtende Verspätungsgeld darf 50 000 Euro für alle für einen Veranlagungszeitraum zu übermittelnden Rentenbezugsmitteilungen nicht übersteigen.</w:t>
      </w:r>
    </w:p>
    <w:p>
      <w:r>
        <w:t xml:space="preserve">(6) Die zentrale Stelle ist berechtigt, in den in § 151b Absatz 3 Satz 2 des Sechsten Buches Sozialgesetzbuch genannten Fällen die Rentenbezugsmitteilung an die Träger der gesetzlichen Rentenversicherung zu übermitteln.</w:t>
      </w:r>
    </w:p>
    <w:p>
      <w:r>
        <w:rPr>
          <w:color w:val="555555"/>
          <w:sz w:val="17"/>
        </w:rPr>
        <w:t xml:space="preserve">Zitiervorschlag: § 22a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https://recht.nulegal.eu/gesetze/EStG/22a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