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EStG — Arten der sonstigen Einkünfte</w:t>
      </w:r>
    </w:p>
    <w:p>
      <w:r>
        <w:rPr>
          <w:color w:val="555555"/>
          <w:sz w:val="18"/>
        </w:rPr>
        <w:t xml:space="preserve">Einkommensteuergesetz</w:t>
      </w:r>
    </w:p>
    <w:p>
      <w:r>
        <w:rPr>
          <w:color w:val="555555"/>
          <w:sz w:val="18"/>
        </w:rPr>
        <w:t xml:space="preserve">Stand: 01.01.2025 (konsolidierte Textfassung, kein amtliches Inkrafttretensdatum)</w:t>
      </w:r>
    </w:p>
    <w:p>
      <w:r>
        <w:t xml:space="preserve">Sonstige Einkünfte sind</w:t>
      </w:r>
    </w:p>
    <w:p>
      <w:pPr>
        <w:ind w:left="420"/>
      </w:pPr>
      <w:r>
        <w:t xml:space="preserve">1. Einkünfte aus wiederkehrenden Bezügen, soweit sie nicht zu den in § 2 Absatz 1 Nummer 1 bis 6 bezeichneten Einkunftsarten gehören; § 15b ist sinngemäß anzuwenden. 2Werden die Bezüge freiwillig oder auf Grund einer freiwillig begründeten Rechtspflicht oder einer gesetzlich unterhaltsberechtigten Person gewährt, so sind sie nicht dem Empfänger zuzurechnen; dem Empfänger sind dagegen zuzurechnen</w:t>
      </w:r>
    </w:p>
    <w:p>
      <w:pPr>
        <w:ind w:left="780"/>
      </w:pPr>
      <w:r>
        <w:t xml:space="preserve">a) Bezüge, die von einer Körperschaft, Personenvereinigung oder Vermögensmasse außerhalb der Erfüllung steuerbegünstigter Zwecke im Sinne der §§ 52 bis 54 der Abgabenordnung gewährt werden, und</w:t>
      </w:r>
    </w:p>
    <w:p>
      <w:pPr>
        <w:ind w:left="780"/>
      </w:pPr>
      <w:r>
        <w:t xml:space="preserve">b) Bezüge im Sinne des § 1 der Verordnung über die Steuerbegünstigung von Stiftungen, die an die Stelle von Familienfideikommissen getreten sind, in der im Bundesgesetzblatt Teil III, Gliederungsnummer 611-4-3, veröffentlichten bereinigten Fassung.</w:t>
      </w:r>
    </w:p>
    <w:p>
      <w:pPr>
        <w:ind w:left="420"/>
      </w:pPr>
      <w:r>
        <w:t xml:space="preserve">3Zu den in Satz 1 bezeichneten Einkünften gehören auch</w:t>
      </w:r>
    </w:p>
    <w:p>
      <w:pPr>
        <w:ind w:left="780"/>
      </w:pPr>
      <w:r>
        <w:t xml:space="preserve">a) Leibrenten und andere Leistungen,</w:t>
      </w:r>
    </w:p>
    <w:p>
      <w:pPr>
        <w:ind w:left="1140"/>
      </w:pPr>
      <w:r>
        <w:t xml:space="preserve">aa) die aus den gesetzlichen Rentenversicherungen, der landwirtschaftlichen Alterskasse, den berufsständischen Versorgungseinrichtungen und aus Rentenversicherungen im Sinne des § 10 Absatz 1 Nummer 2 Buchstabe b erbracht werden, soweit sie jeweils der Besteuerung unterliegen. 2Bemessungsgrundlage für den der Besteuerung unterliegenden Anteil ist der Jahresbetrag der Rente. 3Der der Besteuerung unterliegende Anteil ist nach dem Jahr des Rentenbeginns und dem in diesem Jahr maßgebenden Prozentsatz aus der nachstehenden Tabelle zu entnehmen:</w:t>
      </w:r>
    </w:p>
    <w:p>
      <w:r>
        <w:rPr>
          <w:rFonts w:ascii="Courier New" w:hAnsi="Courier New"/>
          <w:sz w:val="17"/>
        </w:rPr>
        <w:t xml:space="preserve">Jahr des Rentenbeginns    Besteuerungsanteil in %    Jahr des Rentenbeginns    Besteuerungsanteil in %</w:t>
      </w:r>
    </w:p>
    <w:p>
      <w:r>
        <w:rPr>
          <w:rFonts w:ascii="Courier New" w:hAnsi="Courier New"/>
          <w:sz w:val="17"/>
        </w:rPr>
        <w:t xml:space="preserve">bis 2005    50,0    2032    87,0</w:t>
      </w:r>
    </w:p>
    <w:p>
      <w:r>
        <w:rPr>
          <w:rFonts w:ascii="Courier New" w:hAnsi="Courier New"/>
          <w:sz w:val="17"/>
        </w:rPr>
        <w:t xml:space="preserve">ab 2006    52,0    2033    87,5</w:t>
      </w:r>
    </w:p>
    <w:p>
      <w:r>
        <w:rPr>
          <w:rFonts w:ascii="Courier New" w:hAnsi="Courier New"/>
          <w:sz w:val="17"/>
        </w:rPr>
        <w:t xml:space="preserve">2007    54,0    2034    88,0</w:t>
      </w:r>
    </w:p>
    <w:p>
      <w:r>
        <w:rPr>
          <w:rFonts w:ascii="Courier New" w:hAnsi="Courier New"/>
          <w:sz w:val="17"/>
        </w:rPr>
        <w:t xml:space="preserve">2008    56,0    2035    88,5</w:t>
      </w:r>
    </w:p>
    <w:p>
      <w:r>
        <w:rPr>
          <w:rFonts w:ascii="Courier New" w:hAnsi="Courier New"/>
          <w:sz w:val="17"/>
        </w:rPr>
        <w:t xml:space="preserve">2009    58,0    2036    89,0</w:t>
      </w:r>
    </w:p>
    <w:p>
      <w:r>
        <w:rPr>
          <w:rFonts w:ascii="Courier New" w:hAnsi="Courier New"/>
          <w:sz w:val="17"/>
        </w:rPr>
        <w:t xml:space="preserve">2010    60,0    2037    89,5</w:t>
      </w:r>
    </w:p>
    <w:p>
      <w:r>
        <w:rPr>
          <w:rFonts w:ascii="Courier New" w:hAnsi="Courier New"/>
          <w:sz w:val="17"/>
        </w:rPr>
        <w:t xml:space="preserve">2011    62,0    2038    90,0</w:t>
      </w:r>
    </w:p>
    <w:p>
      <w:r>
        <w:rPr>
          <w:rFonts w:ascii="Courier New" w:hAnsi="Courier New"/>
          <w:sz w:val="17"/>
        </w:rPr>
        <w:t xml:space="preserve">2012    64,0    2039    90,5</w:t>
      </w:r>
    </w:p>
    <w:p>
      <w:r>
        <w:rPr>
          <w:rFonts w:ascii="Courier New" w:hAnsi="Courier New"/>
          <w:sz w:val="17"/>
        </w:rPr>
        <w:t xml:space="preserve">2013    66,0    2040    91,0</w:t>
      </w:r>
    </w:p>
    <w:p>
      <w:r>
        <w:rPr>
          <w:rFonts w:ascii="Courier New" w:hAnsi="Courier New"/>
          <w:sz w:val="17"/>
        </w:rPr>
        <w:t xml:space="preserve">2014    68,0    2041    91,5</w:t>
      </w:r>
    </w:p>
    <w:p>
      <w:r>
        <w:rPr>
          <w:rFonts w:ascii="Courier New" w:hAnsi="Courier New"/>
          <w:sz w:val="17"/>
        </w:rPr>
        <w:t xml:space="preserve">2015    70,0    2042    92,0</w:t>
      </w:r>
    </w:p>
    <w:p>
      <w:r>
        <w:rPr>
          <w:rFonts w:ascii="Courier New" w:hAnsi="Courier New"/>
          <w:sz w:val="17"/>
        </w:rPr>
        <w:t xml:space="preserve">2016    72,0    2043    92,5</w:t>
      </w:r>
    </w:p>
    <w:p>
      <w:r>
        <w:rPr>
          <w:rFonts w:ascii="Courier New" w:hAnsi="Courier New"/>
          <w:sz w:val="17"/>
        </w:rPr>
        <w:t xml:space="preserve">2017    74,0    2044    93,0</w:t>
      </w:r>
    </w:p>
    <w:p>
      <w:r>
        <w:rPr>
          <w:rFonts w:ascii="Courier New" w:hAnsi="Courier New"/>
          <w:sz w:val="17"/>
        </w:rPr>
        <w:t xml:space="preserve">2018    76,0    2045    93,5</w:t>
      </w:r>
    </w:p>
    <w:p>
      <w:r>
        <w:rPr>
          <w:rFonts w:ascii="Courier New" w:hAnsi="Courier New"/>
          <w:sz w:val="17"/>
        </w:rPr>
        <w:t xml:space="preserve">2019    78,0    2046    94,0</w:t>
      </w:r>
    </w:p>
    <w:p>
      <w:r>
        <w:rPr>
          <w:rFonts w:ascii="Courier New" w:hAnsi="Courier New"/>
          <w:sz w:val="17"/>
        </w:rPr>
        <w:t xml:space="preserve">2020    80,0    2047    94,5</w:t>
      </w:r>
    </w:p>
    <w:p>
      <w:r>
        <w:rPr>
          <w:rFonts w:ascii="Courier New" w:hAnsi="Courier New"/>
          <w:sz w:val="17"/>
        </w:rPr>
        <w:t xml:space="preserve">2021    81,0    2048    95,0</w:t>
      </w:r>
    </w:p>
    <w:p>
      <w:r>
        <w:rPr>
          <w:rFonts w:ascii="Courier New" w:hAnsi="Courier New"/>
          <w:sz w:val="17"/>
        </w:rPr>
        <w:t xml:space="preserve">2022    82,0    2049    95,5</w:t>
      </w:r>
    </w:p>
    <w:p>
      <w:r>
        <w:rPr>
          <w:rFonts w:ascii="Courier New" w:hAnsi="Courier New"/>
          <w:sz w:val="17"/>
        </w:rPr>
        <w:t xml:space="preserve">2023    82,5    2050    96,0</w:t>
      </w:r>
    </w:p>
    <w:p>
      <w:r>
        <w:rPr>
          <w:rFonts w:ascii="Courier New" w:hAnsi="Courier New"/>
          <w:sz w:val="17"/>
        </w:rPr>
        <w:t xml:space="preserve">2024    83,0    2051    96,5</w:t>
      </w:r>
    </w:p>
    <w:p>
      <w:r>
        <w:rPr>
          <w:rFonts w:ascii="Courier New" w:hAnsi="Courier New"/>
          <w:sz w:val="17"/>
        </w:rPr>
        <w:t xml:space="preserve">2025    83,5    2052    97,0</w:t>
      </w:r>
    </w:p>
    <w:p>
      <w:r>
        <w:rPr>
          <w:rFonts w:ascii="Courier New" w:hAnsi="Courier New"/>
          <w:sz w:val="17"/>
        </w:rPr>
        <w:t xml:space="preserve">2026    84,0    2053    97,5</w:t>
      </w:r>
    </w:p>
    <w:p>
      <w:r>
        <w:rPr>
          <w:rFonts w:ascii="Courier New" w:hAnsi="Courier New"/>
          <w:sz w:val="17"/>
        </w:rPr>
        <w:t xml:space="preserve">2027    84,5    2054    98,0</w:t>
      </w:r>
    </w:p>
    <w:p>
      <w:r>
        <w:rPr>
          <w:rFonts w:ascii="Courier New" w:hAnsi="Courier New"/>
          <w:sz w:val="17"/>
        </w:rPr>
        <w:t xml:space="preserve">2028    85,0    2055    98,5</w:t>
      </w:r>
    </w:p>
    <w:p>
      <w:r>
        <w:rPr>
          <w:rFonts w:ascii="Courier New" w:hAnsi="Courier New"/>
          <w:sz w:val="17"/>
        </w:rPr>
        <w:t xml:space="preserve">2029    85,5    2056    99,0</w:t>
      </w:r>
    </w:p>
    <w:p>
      <w:r>
        <w:rPr>
          <w:rFonts w:ascii="Courier New" w:hAnsi="Courier New"/>
          <w:sz w:val="17"/>
        </w:rPr>
        <w:t xml:space="preserve">2030    86,0    2057    99,5</w:t>
      </w:r>
    </w:p>
    <w:p>
      <w:r>
        <w:rPr>
          <w:rFonts w:ascii="Courier New" w:hAnsi="Courier New"/>
          <w:sz w:val="17"/>
        </w:rPr>
        <w:t xml:space="preserve">2031    86,5    2058    100,0</w:t>
      </w:r>
    </w:p>
    <w:p>
      <w:pPr>
        <w:ind w:left="1140"/>
      </w:pPr>
      <w:r>
        <w:t xml:space="preserve">4Der Unterschiedsbetrag zwischen dem Jahresbetrag der Rente und dem der Besteuerung unterliegenden Anteil der Rente ist der steuerfreie Teil der Rente. 5Dieser gilt ab dem Jahr, das dem Jahr des Rentenbeginns folgt, für die gesamte Laufzeit des Rentenbezugs. 6Abweichend hiervon ist der steuerfreie Teil der Rente bei einer Veränderung des Jahresbetrags der Rente in dem Verhältnis anzupassen, in dem der veränderte Jahresbetrag der Rente zum Jahresbetrag der Rente steht, der der Ermittlung des steuerfreien Teils der Rente zugrunde liegt. 7Regelmäßige Anpassungen des Jahresbetrags der Rente führen nicht zu einer Neuberechnung und bleiben bei einer Neuberechnung außer Betracht. 8Folgen nach dem 31. Dezember 2004 Renten aus derselben Versicherung einander nach, gilt für die spätere Rente Satz 3 mit der Maßgabe, dass sich der Prozentsatz nach dem Jahr richtet, das sich ergibt, wenn die Laufzeit der vorhergehenden Renten von dem Jahr des Beginns der späteren Rente abgezogen wird; der Prozentsatz kann jedoch nicht niedriger bemessen werden als der für das Jahr 2005. 9Verstirbt der Rentenempfänger, ist ihm die Rente für den Sterbemonat noch zuzurechnen;</w:t>
      </w:r>
    </w:p>
    <w:p>
      <w:pPr>
        <w:ind w:left="1140"/>
      </w:pPr>
      <w:r>
        <w:t xml:space="preserve">bb) die nicht solche im Sinne des Doppelbuchstaben aa sind und bei denen in den einzelnen Bezügen Einkünfte aus Erträgen des Rentenrechts enthalten sind. 2Dies gilt auf Antrag auch für Leibrenten und andere Leistungen, soweit diese auf bis zum 31. Dezember 2004 geleisteten Beiträgen beruhen, welche oberhalb des Betrags des Höchstbeitrags zur gesetzlichen Rentenversicherung gezahlt wurden; der Steuerpflichtige muss nachweisen, dass der Betrag des Höchstbeitrags mindestens zehn Jahre überschritten wurde; soweit hiervon im Versorgungsausgleich übertragene Rentenanwartschaften betroffen sind, gilt § 4 Absatz 1 und 2 des Versorgungsausgleichsgesetzes entsprechend. 3Als Ertrag des Rentenrechts gilt für die gesamte Dauer des Rentenbezugs der Unterschiedsbetrag zwischen dem Jahresbetrag der Rente und dem Betrag, der sich bei gleichmäßiger Verteilung des Kapitalwerts der Rente auf ihre voraussichtliche Laufzeit ergibt; dabei ist der Kapitalwert nach dieser Laufzeit zu berechnen. 4Der Ertrag des Rentenrechts (Ertragsanteil) ist aus der nachstehenden Tabelle zu entnehmen:</w:t>
      </w:r>
    </w:p>
    <w:p>
      <w:r>
        <w:rPr>
          <w:rFonts w:ascii="Courier New" w:hAnsi="Courier New"/>
          <w:sz w:val="17"/>
        </w:rPr>
        <w:t xml:space="preserve">Bei Beginn der Rente vollendetes Lebensjahr des Renten- berechtigten    Ertragsanteil in %</w:t>
      </w:r>
    </w:p>
    <w:p>
      <w:r>
        <w:rPr>
          <w:rFonts w:ascii="Courier New" w:hAnsi="Courier New"/>
          <w:sz w:val="17"/>
        </w:rPr>
        <w:t xml:space="preserve">0 bis 1    59</w:t>
      </w:r>
    </w:p>
    <w:p>
      <w:r>
        <w:rPr>
          <w:rFonts w:ascii="Courier New" w:hAnsi="Courier New"/>
          <w:sz w:val="17"/>
        </w:rPr>
        <w:t xml:space="preserve">2 bis 3    58</w:t>
      </w:r>
    </w:p>
    <w:p>
      <w:r>
        <w:rPr>
          <w:rFonts w:ascii="Courier New" w:hAnsi="Courier New"/>
          <w:sz w:val="17"/>
        </w:rPr>
        <w:t xml:space="preserve">4 bis 5    57</w:t>
      </w:r>
    </w:p>
    <w:p>
      <w:r>
        <w:rPr>
          <w:rFonts w:ascii="Courier New" w:hAnsi="Courier New"/>
          <w:sz w:val="17"/>
        </w:rPr>
        <w:t xml:space="preserve">6 bis 8    56</w:t>
      </w:r>
    </w:p>
    <w:p>
      <w:r>
        <w:rPr>
          <w:rFonts w:ascii="Courier New" w:hAnsi="Courier New"/>
          <w:sz w:val="17"/>
        </w:rPr>
        <w:t xml:space="preserve">9 bis 10    55</w:t>
      </w:r>
    </w:p>
    <w:p>
      <w:r>
        <w:rPr>
          <w:rFonts w:ascii="Courier New" w:hAnsi="Courier New"/>
          <w:sz w:val="17"/>
        </w:rPr>
        <w:t xml:space="preserve">11 bis 12    54</w:t>
      </w:r>
    </w:p>
    <w:p>
      <w:r>
        <w:rPr>
          <w:rFonts w:ascii="Courier New" w:hAnsi="Courier New"/>
          <w:sz w:val="17"/>
        </w:rPr>
        <w:t xml:space="preserve">13 bis 14    53</w:t>
      </w:r>
    </w:p>
    <w:p>
      <w:r>
        <w:rPr>
          <w:rFonts w:ascii="Courier New" w:hAnsi="Courier New"/>
          <w:sz w:val="17"/>
        </w:rPr>
        <w:t xml:space="preserve">15 bis 16    52</w:t>
      </w:r>
    </w:p>
    <w:p>
      <w:r>
        <w:rPr>
          <w:rFonts w:ascii="Courier New" w:hAnsi="Courier New"/>
          <w:sz w:val="17"/>
        </w:rPr>
        <w:t xml:space="preserve">17 bis 18    51</w:t>
      </w:r>
    </w:p>
    <w:p>
      <w:r>
        <w:rPr>
          <w:rFonts w:ascii="Courier New" w:hAnsi="Courier New"/>
          <w:sz w:val="17"/>
        </w:rPr>
        <w:t xml:space="preserve">19 bis 20    50</w:t>
      </w:r>
    </w:p>
    <w:p>
      <w:r>
        <w:rPr>
          <w:rFonts w:ascii="Courier New" w:hAnsi="Courier New"/>
          <w:sz w:val="17"/>
        </w:rPr>
        <w:t xml:space="preserve">21 bis 22    49</w:t>
      </w:r>
    </w:p>
    <w:p>
      <w:r>
        <w:rPr>
          <w:rFonts w:ascii="Courier New" w:hAnsi="Courier New"/>
          <w:sz w:val="17"/>
        </w:rPr>
        <w:t xml:space="preserve">23 bis 24    48</w:t>
      </w:r>
    </w:p>
    <w:p>
      <w:r>
        <w:rPr>
          <w:rFonts w:ascii="Courier New" w:hAnsi="Courier New"/>
          <w:sz w:val="17"/>
        </w:rPr>
        <w:t xml:space="preserve">25 bis 26    47</w:t>
      </w:r>
    </w:p>
    <w:p>
      <w:r>
        <w:rPr>
          <w:rFonts w:ascii="Courier New" w:hAnsi="Courier New"/>
          <w:sz w:val="17"/>
        </w:rPr>
        <w:t xml:space="preserve">27    46</w:t>
      </w:r>
    </w:p>
    <w:p>
      <w:r>
        <w:rPr>
          <w:rFonts w:ascii="Courier New" w:hAnsi="Courier New"/>
          <w:sz w:val="17"/>
        </w:rPr>
        <w:t xml:space="preserve">28 bis 29    45</w:t>
      </w:r>
    </w:p>
    <w:p>
      <w:r>
        <w:rPr>
          <w:rFonts w:ascii="Courier New" w:hAnsi="Courier New"/>
          <w:sz w:val="17"/>
        </w:rPr>
        <w:t xml:space="preserve">30 bis 31    44</w:t>
      </w:r>
    </w:p>
    <w:p>
      <w:r>
        <w:rPr>
          <w:rFonts w:ascii="Courier New" w:hAnsi="Courier New"/>
          <w:sz w:val="17"/>
        </w:rPr>
        <w:t xml:space="preserve">32    43</w:t>
      </w:r>
    </w:p>
    <w:p>
      <w:r>
        <w:rPr>
          <w:rFonts w:ascii="Courier New" w:hAnsi="Courier New"/>
          <w:sz w:val="17"/>
        </w:rPr>
        <w:t xml:space="preserve">33 bis 34    42</w:t>
      </w:r>
    </w:p>
    <w:p>
      <w:r>
        <w:rPr>
          <w:rFonts w:ascii="Courier New" w:hAnsi="Courier New"/>
          <w:sz w:val="17"/>
        </w:rPr>
        <w:t xml:space="preserve">35    41</w:t>
      </w:r>
    </w:p>
    <w:p>
      <w:r>
        <w:rPr>
          <w:rFonts w:ascii="Courier New" w:hAnsi="Courier New"/>
          <w:sz w:val="17"/>
        </w:rPr>
        <w:t xml:space="preserve">36 bis 37    40</w:t>
      </w:r>
    </w:p>
    <w:p>
      <w:r>
        <w:rPr>
          <w:rFonts w:ascii="Courier New" w:hAnsi="Courier New"/>
          <w:sz w:val="17"/>
        </w:rPr>
        <w:t xml:space="preserve">38    39</w:t>
      </w:r>
    </w:p>
    <w:p>
      <w:r>
        <w:rPr>
          <w:rFonts w:ascii="Courier New" w:hAnsi="Courier New"/>
          <w:sz w:val="17"/>
        </w:rPr>
        <w:t xml:space="preserve">39 bis 40    38</w:t>
      </w:r>
    </w:p>
    <w:p>
      <w:r>
        <w:rPr>
          <w:rFonts w:ascii="Courier New" w:hAnsi="Courier New"/>
          <w:sz w:val="17"/>
        </w:rPr>
        <w:t xml:space="preserve">41    37</w:t>
      </w:r>
    </w:p>
    <w:p>
      <w:r>
        <w:rPr>
          <w:rFonts w:ascii="Courier New" w:hAnsi="Courier New"/>
          <w:sz w:val="17"/>
        </w:rPr>
        <w:t xml:space="preserve">42    36</w:t>
      </w:r>
    </w:p>
    <w:p>
      <w:r>
        <w:rPr>
          <w:rFonts w:ascii="Courier New" w:hAnsi="Courier New"/>
          <w:sz w:val="17"/>
        </w:rPr>
        <w:t xml:space="preserve">43 bis 44    35</w:t>
      </w:r>
    </w:p>
    <w:p>
      <w:r>
        <w:rPr>
          <w:rFonts w:ascii="Courier New" w:hAnsi="Courier New"/>
          <w:sz w:val="17"/>
        </w:rPr>
        <w:t xml:space="preserve">45    34</w:t>
      </w:r>
    </w:p>
    <w:p>
      <w:r>
        <w:rPr>
          <w:rFonts w:ascii="Courier New" w:hAnsi="Courier New"/>
          <w:sz w:val="17"/>
        </w:rPr>
        <w:t xml:space="preserve">46 bis 47    33</w:t>
      </w:r>
    </w:p>
    <w:p>
      <w:r>
        <w:rPr>
          <w:rFonts w:ascii="Courier New" w:hAnsi="Courier New"/>
          <w:sz w:val="17"/>
        </w:rPr>
        <w:t xml:space="preserve">48    32</w:t>
      </w:r>
    </w:p>
    <w:p>
      <w:r>
        <w:rPr>
          <w:rFonts w:ascii="Courier New" w:hAnsi="Courier New"/>
          <w:sz w:val="17"/>
        </w:rPr>
        <w:t xml:space="preserve">49    31</w:t>
      </w:r>
    </w:p>
    <w:p>
      <w:r>
        <w:rPr>
          <w:rFonts w:ascii="Courier New" w:hAnsi="Courier New"/>
          <w:sz w:val="17"/>
        </w:rPr>
        <w:t xml:space="preserve">50    30</w:t>
      </w:r>
    </w:p>
    <w:p>
      <w:r>
        <w:rPr>
          <w:rFonts w:ascii="Courier New" w:hAnsi="Courier New"/>
          <w:sz w:val="17"/>
        </w:rPr>
        <w:t xml:space="preserve">51 bis 52    29</w:t>
      </w:r>
    </w:p>
    <w:p>
      <w:r>
        <w:rPr>
          <w:rFonts w:ascii="Courier New" w:hAnsi="Courier New"/>
          <w:sz w:val="17"/>
        </w:rPr>
        <w:t xml:space="preserve">53    28</w:t>
      </w:r>
    </w:p>
    <w:p>
      <w:r>
        <w:rPr>
          <w:rFonts w:ascii="Courier New" w:hAnsi="Courier New"/>
          <w:sz w:val="17"/>
        </w:rPr>
        <w:t xml:space="preserve">54    27</w:t>
      </w:r>
    </w:p>
    <w:p>
      <w:r>
        <w:rPr>
          <w:rFonts w:ascii="Courier New" w:hAnsi="Courier New"/>
          <w:sz w:val="17"/>
        </w:rPr>
        <w:t xml:space="preserve">55 bis 56    26</w:t>
      </w:r>
    </w:p>
    <w:p>
      <w:r>
        <w:rPr>
          <w:rFonts w:ascii="Courier New" w:hAnsi="Courier New"/>
          <w:sz w:val="17"/>
        </w:rPr>
        <w:t xml:space="preserve">57    25</w:t>
      </w:r>
    </w:p>
    <w:p>
      <w:r>
        <w:rPr>
          <w:rFonts w:ascii="Courier New" w:hAnsi="Courier New"/>
          <w:sz w:val="17"/>
        </w:rPr>
        <w:t xml:space="preserve">58    24</w:t>
      </w:r>
    </w:p>
    <w:p>
      <w:r>
        <w:rPr>
          <w:rFonts w:ascii="Courier New" w:hAnsi="Courier New"/>
          <w:sz w:val="17"/>
        </w:rPr>
        <w:t xml:space="preserve">59    23</w:t>
      </w:r>
    </w:p>
    <w:p>
      <w:r>
        <w:rPr>
          <w:rFonts w:ascii="Courier New" w:hAnsi="Courier New"/>
          <w:sz w:val="17"/>
        </w:rPr>
        <w:t xml:space="preserve">60 bis 61    22</w:t>
      </w:r>
    </w:p>
    <w:p>
      <w:r>
        <w:rPr>
          <w:rFonts w:ascii="Courier New" w:hAnsi="Courier New"/>
          <w:sz w:val="17"/>
        </w:rPr>
        <w:t xml:space="preserve">62    21</w:t>
      </w:r>
    </w:p>
    <w:p>
      <w:r>
        <w:rPr>
          <w:rFonts w:ascii="Courier New" w:hAnsi="Courier New"/>
          <w:sz w:val="17"/>
        </w:rPr>
        <w:t xml:space="preserve">63    20</w:t>
      </w:r>
    </w:p>
    <w:p>
      <w:r>
        <w:rPr>
          <w:rFonts w:ascii="Courier New" w:hAnsi="Courier New"/>
          <w:sz w:val="17"/>
        </w:rPr>
        <w:t xml:space="preserve">64    19</w:t>
      </w:r>
    </w:p>
    <w:p>
      <w:r>
        <w:rPr>
          <w:rFonts w:ascii="Courier New" w:hAnsi="Courier New"/>
          <w:sz w:val="17"/>
        </w:rPr>
        <w:t xml:space="preserve">65 bis 66    18</w:t>
      </w:r>
    </w:p>
    <w:p>
      <w:r>
        <w:rPr>
          <w:rFonts w:ascii="Courier New" w:hAnsi="Courier New"/>
          <w:sz w:val="17"/>
        </w:rPr>
        <w:t xml:space="preserve">67    17</w:t>
      </w:r>
    </w:p>
    <w:p>
      <w:r>
        <w:rPr>
          <w:rFonts w:ascii="Courier New" w:hAnsi="Courier New"/>
          <w:sz w:val="17"/>
        </w:rPr>
        <w:t xml:space="preserve">68    16</w:t>
      </w:r>
    </w:p>
    <w:p>
      <w:r>
        <w:rPr>
          <w:rFonts w:ascii="Courier New" w:hAnsi="Courier New"/>
          <w:sz w:val="17"/>
        </w:rPr>
        <w:t xml:space="preserve">69 bis 70    15</w:t>
      </w:r>
    </w:p>
    <w:p>
      <w:r>
        <w:rPr>
          <w:rFonts w:ascii="Courier New" w:hAnsi="Courier New"/>
          <w:sz w:val="17"/>
        </w:rPr>
        <w:t xml:space="preserve">71    14</w:t>
      </w:r>
    </w:p>
    <w:p>
      <w:r>
        <w:rPr>
          <w:rFonts w:ascii="Courier New" w:hAnsi="Courier New"/>
          <w:sz w:val="17"/>
        </w:rPr>
        <w:t xml:space="preserve">72 bis 73    13</w:t>
      </w:r>
    </w:p>
    <w:p>
      <w:r>
        <w:rPr>
          <w:rFonts w:ascii="Courier New" w:hAnsi="Courier New"/>
          <w:sz w:val="17"/>
        </w:rPr>
        <w:t xml:space="preserve">74    12</w:t>
      </w:r>
    </w:p>
    <w:p>
      <w:r>
        <w:rPr>
          <w:rFonts w:ascii="Courier New" w:hAnsi="Courier New"/>
          <w:sz w:val="17"/>
        </w:rPr>
        <w:t xml:space="preserve">75    11</w:t>
      </w:r>
    </w:p>
    <w:p>
      <w:r>
        <w:rPr>
          <w:rFonts w:ascii="Courier New" w:hAnsi="Courier New"/>
          <w:sz w:val="17"/>
        </w:rPr>
        <w:t xml:space="preserve">76 bis 77    10</w:t>
      </w:r>
    </w:p>
    <w:p>
      <w:r>
        <w:rPr>
          <w:rFonts w:ascii="Courier New" w:hAnsi="Courier New"/>
          <w:sz w:val="17"/>
        </w:rPr>
        <w:t xml:space="preserve">78 bis 79    9</w:t>
      </w:r>
    </w:p>
    <w:p>
      <w:r>
        <w:rPr>
          <w:rFonts w:ascii="Courier New" w:hAnsi="Courier New"/>
          <w:sz w:val="17"/>
        </w:rPr>
        <w:t xml:space="preserve">80    8</w:t>
      </w:r>
    </w:p>
    <w:p>
      <w:r>
        <w:rPr>
          <w:rFonts w:ascii="Courier New" w:hAnsi="Courier New"/>
          <w:sz w:val="17"/>
        </w:rPr>
        <w:t xml:space="preserve">81 bis 82    7</w:t>
      </w:r>
    </w:p>
    <w:p>
      <w:r>
        <w:rPr>
          <w:rFonts w:ascii="Courier New" w:hAnsi="Courier New"/>
          <w:sz w:val="17"/>
        </w:rPr>
        <w:t xml:space="preserve">83 bis 84    6</w:t>
      </w:r>
    </w:p>
    <w:p>
      <w:r>
        <w:rPr>
          <w:rFonts w:ascii="Courier New" w:hAnsi="Courier New"/>
          <w:sz w:val="17"/>
        </w:rPr>
        <w:t xml:space="preserve">85 bis 87    5</w:t>
      </w:r>
    </w:p>
    <w:p>
      <w:r>
        <w:rPr>
          <w:rFonts w:ascii="Courier New" w:hAnsi="Courier New"/>
          <w:sz w:val="17"/>
        </w:rPr>
        <w:t xml:space="preserve">88 bis 91    4</w:t>
      </w:r>
    </w:p>
    <w:p>
      <w:r>
        <w:rPr>
          <w:rFonts w:ascii="Courier New" w:hAnsi="Courier New"/>
          <w:sz w:val="17"/>
        </w:rPr>
        <w:t xml:space="preserve">92 bis 93    3</w:t>
      </w:r>
    </w:p>
    <w:p>
      <w:r>
        <w:rPr>
          <w:rFonts w:ascii="Courier New" w:hAnsi="Courier New"/>
          <w:sz w:val="17"/>
        </w:rPr>
        <w:t xml:space="preserve">94 bis 96    2</w:t>
      </w:r>
    </w:p>
    <w:p>
      <w:r>
        <w:rPr>
          <w:rFonts w:ascii="Courier New" w:hAnsi="Courier New"/>
          <w:sz w:val="17"/>
        </w:rPr>
        <w:t xml:space="preserve">ab 97    1</w:t>
      </w:r>
    </w:p>
    <w:p>
      <w:pPr>
        <w:ind w:left="1140"/>
      </w:pPr>
      <w:r>
        <w:t xml:space="preserve">5Die Ermittlung des Ertrags aus Leibrenten, die vor dem 1. Januar 1955 zu laufen begonnen haben, und aus Renten, deren Dauer von der Lebenszeit mehrerer Personen oder einer anderen Person als des Rentenberechtigten abhängt, sowie aus Leibrenten, die auf eine bestimmte Zeit beschränkt sind, wird durch eine Rechtsverordnung bestimmt. 6Doppelbuchstabe aa Satz 9 gilt entsprechend;</w:t>
      </w:r>
    </w:p>
    <w:p>
      <w:pPr>
        <w:ind w:left="780"/>
      </w:pPr>
      <w:r>
        <w:t xml:space="preserve">b) Einkünfte aus Zuschüssen und sonstigen Vorteilen, die als wiederkehrende Bezüge gewährt werden;</w:t>
      </w:r>
    </w:p>
    <w:p>
      <w:pPr>
        <w:ind w:left="780"/>
      </w:pPr>
      <w:r>
        <w:t xml:space="preserve">c) die Energiepreispauschale nach dem Rentenbeziehende-Energiepreispauschalengesetz;</w:t>
      </w:r>
    </w:p>
    <w:p>
      <w:pPr>
        <w:ind w:left="420"/>
      </w:pPr>
      <w:r>
        <w:t xml:space="preserve">1a. Einkünfte aus Leistungen und Zahlungen nach § 10 Absatz 1a, soweit für diese die Voraussetzungen für den Sonderausgabenabzug beim Leistungs- oder Zahlungsverpflichteten nach § 10 Absatz 1a erfüllt sind;</w:t>
      </w:r>
    </w:p>
    <w:p>
      <w:pPr>
        <w:ind w:left="420"/>
      </w:pPr>
      <w:r>
        <w:t xml:space="preserve">1b. (weggefallen)</w:t>
      </w:r>
    </w:p>
    <w:p>
      <w:pPr>
        <w:ind w:left="420"/>
      </w:pPr>
      <w:r>
        <w:t xml:space="preserve">1c. (weggefallen)</w:t>
      </w:r>
    </w:p>
    <w:p>
      <w:pPr>
        <w:ind w:left="420"/>
      </w:pPr>
      <w:r>
        <w:t xml:space="preserve">2. Einkünfte aus privaten Veräußerungsgeschäften im Sinne des § 23;</w:t>
      </w:r>
    </w:p>
    <w:p>
      <w:pPr>
        <w:ind w:left="420"/>
      </w:pPr>
      <w:r>
        <w:t xml:space="preserve">3. Einkünfte aus Leistungen, soweit sie weder zu anderen Einkunftsarten (§ 2 Absatz 1 Satz 1 Nummer 1 bis 6) noch zu den Einkünften im Sinne der Nummern 1, 1a, 2 oder 4 gehören, z. B. Einkünfte aus gelegentlichen Vermittlungen und aus der Vermietung beweglicher Gegenstände. 2Solche Einkünfte sind nicht einkommensteuerpflichtig, wenn sie weniger als 256 Euro im Kalenderjahr betragen haben. 3Übersteigen die Werbungskosten die Einnahmen, so darf der übersteigende Betrag bei Ermittlung des Einkommens nicht ausgeglichen werden; er darf auch nicht nach § 10d abgezogen werden. 4Die Verluste mindern jedoch nach Maßgabe des § 10d die Einkünfte, die der Steuerpflichtige in dem unmittelbar vorangegangenen Veranlagungszeitraum oder in den folgenden Veranlagungszeiträumen aus Leistungen im Sinne des Satzes 1 erzielt hat oder erzielt; § 10d Absatz 4 gilt entsprechend;</w:t>
      </w:r>
    </w:p>
    <w:p>
      <w:pPr>
        <w:ind w:left="420"/>
      </w:pPr>
      <w:r>
        <w:t xml:space="preserve">4. Entschädigungen, Amtszulagen, Zuschüsse zu Kranken- und Pflegeversicherungsbeiträgen, Übergangsgelder, Überbrückungsgelder, Sterbegelder, Versorgungsabfindungen, Versorgungsbezüge, die auf Grund des Abgeordnetengesetzes oder des Europaabgeordnetengesetzes, sowie vergleichbare Bezüge, die auf Grund der entsprechenden Gesetze der Länder gezahlt werden, und die Entschädigungen, das Übergangsgeld, das Ruhegehalt und die Hinterbliebenenversorgung, die auf Grund des Abgeordnetenstatuts des Europäischen Parlaments von der Europäischen Union gezahlt werden. 2Werden zur Abgeltung des durch das Mandat veranlassten Aufwandes Aufwandsentschädigungen gezahlt, so dürfen die durch das Mandat veranlassten Aufwendungen nicht als Werbungskosten abgezogen werden. 3Wahlkampfkosten zur Erlangung eines Mandats im Bundestag, im Europäischen Parlament oder im Parlament eines Landes dürfen nicht als Werbungskosten abgezogen werden. 4Es gelten entsprechend</w:t>
      </w:r>
    </w:p>
    <w:p>
      <w:pPr>
        <w:ind w:left="780"/>
      </w:pPr>
      <w:r>
        <w:t xml:space="preserve">a) für Nachversicherungsbeiträge auf Grund gesetzlicher Verpflichtung nach den Abgeordnetengesetzen im Sinne des Satzes 1 und für Zuschüsse zu Kranken- und Pflegeversicherungsbeiträgen § 3 Nummer 62,</w:t>
      </w:r>
    </w:p>
    <w:p>
      <w:pPr>
        <w:ind w:left="780"/>
      </w:pPr>
      <w:r>
        <w:t xml:space="preserve">b) für Versorgungsbezüge § 19 Absatz 2 nur bezüglich des Versorgungsfreibetrags; beim Zusammentreffen mit Versorgungsbezügen im Sinne des § 19 Absatz 2 Satz 2 bleibt jedoch insgesamt höchstens ein Betrag in Höhe des Versorgungsfreibetrags nach § 19 Absatz 2 Satz 3 im Veranlagungszeitraum steuerfrei,</w:t>
      </w:r>
    </w:p>
    <w:p>
      <w:pPr>
        <w:ind w:left="780"/>
      </w:pPr>
      <w:r>
        <w:t xml:space="preserve">c) für das Übergangsgeld, das in einer Summe gezahlt wird, und für die Versorgungsabfindung § 34 Absatz 1,</w:t>
      </w:r>
    </w:p>
    <w:p>
      <w:pPr>
        <w:ind w:left="780"/>
      </w:pPr>
      <w:r>
        <w:t xml:space="preserve">d) für die Gemeinschaftssteuer, die auf die Entschädigungen, das Übergangsgeld, das Ruhegehalt und die Hinterbliebenenversorgung auf Grund des Abgeordnetenstatuts des Europäischen Parlaments von der Europäischen Union erhoben wird, § 34c Absatz 1; dabei sind die im ersten Halbsatz genannten Einkünfte für die entsprechende Anwendung des § 34c Absatz 1 wie ausländische Einkünfte und die Gemeinschaftssteuer wie eine der deutschen Einkommensteuer entsprechende ausländische Steuer zu behandeln;</w:t>
      </w:r>
    </w:p>
    <w:p>
      <w:pPr>
        <w:ind w:left="420"/>
      </w:pPr>
      <w:r>
        <w:t xml:space="preserve">5. Leistungen aus Altersvorsorgeverträgen, Pensionsfonds, Pensionskassen und Direktversicherungen. 2Soweit die Leistungen nicht auf Beiträgen, auf die § 3 Nummer 63, 63a, § 10a, Abschnitt XI oder Abschnitt XII angewendet wurden, nicht auf Zulagen im Sinne des Abschnitts XI, nicht auf Zahlungen im Sinne des § 92a Absatz 2 Satz 4 Nummer 1 und des § 92a Absatz 3 Satz 9 Nummer 2, nicht auf steuerfreien Leistungen nach § 3 Nummer 66, nicht auf Ansprüchen beruhen, die durch steuerfreie Zuwendungen nach § 3 Nummer 56 oder die durch die nach § 3 Nummer 55b Satz 1 oder § 3 Nummer 55c steuerfreie Leistung aus einem neu begründeten Anrecht erworben wurden, und nicht auf Beiträgen in eine ausländische Versorgungseinrichtung beruhen, für die bei der deutschen Besteuerung oder der Besteuerung in einem anderen Staat eine vergleichbare steuerliche Freistellung oder Begünstigung gewährt wurde,</w:t>
      </w:r>
    </w:p>
    <w:p>
      <w:pPr>
        <w:ind w:left="780"/>
      </w:pPr>
      <w:r>
        <w:t xml:space="preserve">a) ist bei lebenslangen Renten sowie bei Berufsunfähigkeits-, Erwerbsminderungs- und Hinterbliebenenrenten Nummer 1 Satz 3 Buchstabe a entsprechend anzuwenden,</w:t>
      </w:r>
    </w:p>
    <w:p>
      <w:pPr>
        <w:ind w:left="780"/>
      </w:pPr>
      <w:r>
        <w:t xml:space="preserve">b) ist bei Leistungen aus Versicherungsverträgen, Pensionsfonds, Pensionskassen und Direktversicherungen, die nicht solche nach Buchstabe a sind, § 20 Absatz 1 Nummer 6 in der jeweils für den Vertrag geltenden Fassung entsprechend anzuwenden,</w:t>
      </w:r>
    </w:p>
    <w:p>
      <w:pPr>
        <w:ind w:left="780"/>
      </w:pPr>
      <w:r>
        <w:t xml:space="preserve">c) unterliegt bei anderen Leistungen der Unterschiedsbetrag zwischen der Leistung und der Summe der auf sie entrichteten Beiträge der Besteuerung; § 20 Absatz 1 Nummer 6 Satz 2 gilt entsprechend.</w:t>
      </w:r>
    </w:p>
    <w:p>
      <w:pPr>
        <w:ind w:left="420"/>
      </w:pPr>
      <w:r>
        <w:t xml:space="preserve">3In den Fällen des § 93 Absatz 1 Satz 1 und 2 gilt das ausgezahlte geförderte Altersvorsorgevermögen nach Abzug der Zulagen im Sinne des Abschnitts XI als Leistung im Sinne des Satzes 2. 4Als Leistung im Sinne des Satzes 1 gilt auch der Verminderungsbetrag nach § 92a Absatz 2 Satz 5 und der Auflösungsbetrag nach § 92a Absatz 3 Satz 5. 5Der Auflösungsbetrag nach § 92a Absatz 2 Satz 6 wird zu 70 Prozent als Leistung nach Satz 1 erfasst. 6Tritt nach dem Beginn der Auszahlungsphase zu Lebzeiten des Zulageberechtigten der Fall des § 92a Absatz 3 Satz 1 ein, dann ist</w:t>
      </w:r>
    </w:p>
    <w:p>
      <w:pPr>
        <w:ind w:left="780"/>
      </w:pPr>
      <w:r>
        <w:t xml:space="preserve">a) innerhalb eines Zeitraums bis zum zehnten Jahr nach dem Beginn der Auszahlungsphase das Eineinhalbfache,</w:t>
      </w:r>
    </w:p>
    <w:p>
      <w:pPr>
        <w:ind w:left="780"/>
      </w:pPr>
      <w:r>
        <w:t xml:space="preserve">b) innerhalb eines Zeitraums zwischen dem zehnten und 20. Jahr nach dem Beginn der Auszahlungsphase das Einfache</w:t>
      </w:r>
    </w:p>
    <w:p>
      <w:pPr>
        <w:ind w:left="420"/>
      </w:pPr>
      <w:r>
        <w:t xml:space="preserve">des nach Satz 5 noch nicht erfassten Auflösungsbetrags als Leistung nach Satz 1 zu erfassen; § 92a Absatz 3 Satz 9 gilt entsprechend mit der Maßgabe, dass als noch nicht zurückgeführter Betrag im Wohnförderkonto der noch nicht erfasste Auflösungsbetrag gilt. 7Bei erstmaligem Bezug von Leistungen, in den Fällen des § 93 Absatz 1 sowie bei Änderung der im Kalenderjahr auszuzahlenden Leistung hat der Anbieter (§ 80) nach Ablauf des Kalenderjahres dem Steuerpflichtigen nach amtlich vorgeschriebenem Muster den Betrag der im abgelaufenen Kalenderjahr zugeflossenen Leistungen im Sinne der Sätze 1 bis 3 je gesondert mitzuteilen; mit Einverständnis des Steuerpflichtigen kann die Mitteilung elektronisch bereitgestellt werden. 8Werden dem Steuerpflichtigen Abschluss- und Vertriebskosten eines Altersvorsorgevertrages erstattet, gilt der Erstattungsbetrag als Leistung im Sinne des Satzes 1. 9In den Fällen des § 3 Nummer 55a richtet sich die Zuordnung zu Satz 1 oder Satz 2 bei der ausgleichsberechtigten Person danach, wie eine nur auf die Ehezeit bezogene Zuordnung der sich aus dem übertragenen Anrecht ergebenden Leistung zu Satz 1 oder Satz 2 bei der ausgleichspflichtigen Person im Zeitpunkt der Übertragung ohne die Teilung vorzunehmen gewesen wäre. 10Dies gilt sinngemäß in den Fällen des § 3 Nummer 55 und 55e. 11Wird eine Versorgungsverpflichtung nach § 3 Nummer 66 auf einen Pensionsfonds übertragen und hat der Steuerpflichtige bereits vor dieser Übertragung Leistungen auf Grund dieser Versorgungsverpflichtung erhalten, so sind insoweit auf die Leistungen aus dem Pensionsfonds im Sinne des Satzes 1 die Beträge nach § 9a Satz 1 Nummer 1 und § 19 Absatz 2 entsprechend anzuwenden; § 9a Satz 1 Nummer 3 ist nicht anzuwenden. 12Wird auf Grund einer internen Teilung nach § 10 des Versorgungsausgleichsgesetzes oder einer externen Teilung nach § 14 des Versorgungsausgleichsgesetzes ein Anrecht zugunsten der ausgleichsberechtigten Person begründet, so gilt dieser Vertrag insoweit zu dem gleichen Zeitpunkt als abgeschlossen wie der Vertrag der ausgleichspflichtigen Person, wenn die aus dem Vertrag der ausgleichspflichtigen Person ausgezahlten Leistungen zu einer Besteuerung nach Satz 2 führen. 13Für Leistungen aus Altersvorsorgeverträgen nach § 93 Absatz 3 ist § 34 Absatz 1 entsprechend anzuwenden. 14§ 20 Absatz 1 Nummer 6 Satz 9 in der ab dem 27. Juli 2016 geltenden Fassung findet keine Anwendung. 16Nummer 1 Satz 3 Buchstabe a Doppelbuchstabe aa Satz 9 gilt entsprechend.</w:t>
      </w:r>
    </w:p>
    <w:p>
      <w:r>
        <w:rPr>
          <w:color w:val="555555"/>
          <w:sz w:val="17"/>
        </w:rPr>
        <w:t xml:space="preserve">Zitiervorschlag: § 22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