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EStG — Sondervorschrift für Einkünfte aus nichtselbständiger Arbeit bei Vermögensbeteiligungen</w:t>
      </w:r>
    </w:p>
    <w:p>
      <w:r>
        <w:rPr>
          <w:color w:val="555555"/>
          <w:sz w:val="18"/>
        </w:rPr>
        <w:t xml:space="preserve">Einkommensteuergesetz</w:t>
      </w:r>
    </w:p>
    <w:p>
      <w:r>
        <w:rPr>
          <w:color w:val="555555"/>
          <w:sz w:val="18"/>
        </w:rPr>
        <w:t xml:space="preserve">Stand: 01.01.2025 (konsolidierte Textfassung, kein amtliches Inkrafttretensdatum)</w:t>
      </w:r>
    </w:p>
    <w:p>
      <w:r>
        <w:t xml:space="preserve">(1) 1Werden einem Arbeitnehmer von seinem Arbeitgeber oder einem Gesellschafter seines Arbeitgebers zusätzlich zum ohnehin geschuldeten Arbeitslohn Vermögensbeteiligungen im Sinne des § 2 Absatz 1 Nummer 1 Buchstabe a, b und f bis l und Absatz 2 bis 5 des Fünften Vermögensbildungsgesetzes an dem Unternehmen des Arbeitgebers unentgeltlich oder verbilligt übertragen, so unterliegt der Vorteil im Sinne des § 19 Absatz 1 Satz 1 Nummer 1 im Kalenderjahr der Übertragung nicht der Besteuerung. 2Dies gilt auch, wenn die Vermögensbeteiligungen mittelbar über Personengesellschaften gehalten werden. 3Als Unternehmen des Arbeitgebers im Sinne des Satzes 1 gilt auch ein Unternehmen im Sinne des § 18 des Aktiengesetzes, wenn die Schwellenwerte des Absatzes 3 in Bezug auf die Gesamtheit aller Konzernunternehmen nicht überschritten werden und die Gründung keines Konzernunternehmens mehr als 20 Jahre zurückliegt. 4Ein Vorteil im Sinne des Satzes 1 gilt in diesem Fall auch dann als zugeflossen, wenn es dem Arbeitnehmer rechtlich unmöglich ist, über die Vermögensbeteiligung zu verfügen. 5Bei der Ermittlung des Vorteils im Sinne des Satzes 1 ist der Freibetrag nach § 3 Nummer 39 abzuziehen, wenn die Voraussetzungen vorliegen. 6Ein nicht besteuerter Vorteil im Sinne des Satzes 1 ist bei der Berechnung der Vorsorgepauschale (§ 39b Absatz 2 Satz 5 Nummer 3) einzubeziehen. 7Die Anschaffungskosten sind mit dem gemeinen Wert der Vermögensbeteiligung anzusetzen.</w:t>
      </w:r>
    </w:p>
    <w:p>
      <w:r>
        <w:t xml:space="preserve">(2) 1Die vorläufige Nichtbesteuerung nach Absatz 1 kann im Lohnsteuerabzugsverfahren nur mit Zustimmung des Arbeitnehmers angewendet werden. 2Eine Nachholung der vorläufigen Nichtbesteuerung im Rahmen der Veranlagung zur Einkommensteuer ist ausgeschlossen.</w:t>
      </w:r>
    </w:p>
    <w:p>
      <w:r>
        <w:t xml:space="preserve">(3) 1Absatz 1 ist nur anzuwenden, wenn das Unternehmen des Arbeitgebers im Zeitpunkt der Übertragung der Vermögensbeteiligung betreffend den Jahresumsatz und die Jahresbilanzsumme das Doppelte und betreffend die Anzahl der beschäftigten Personen das Vierfache der in Artikel 2 Absatz 1 des Anhangs der Empfehlung der Kommission vom 6. Mai 2003 betreffend die Definition der Kleinstunternehmen sowie der kleinen und mittleren Unternehmen (ABl. L 124 vom 20.5.2003, S. 36) in der jeweils geltenden Fassung genannten Schwellenwerte nicht überschreitet oder in einem der sechs vorangegangenen Kalenderjahre nicht überschritten hat und seine Gründung nicht mehr als 20 Jahre zurückliegt. 2Die Ermittlung der Schwellenwerte nach Satz 1 erfolgt gemäß der Artikel 4 und 5 des Anhangs der Empfehlung.</w:t>
      </w:r>
    </w:p>
    <w:p>
      <w:r>
        <w:t xml:space="preserve">(4) 1Der nach Absatz 1 nicht besteuerte Arbeitslohn unterliegt erst dann der Besteuerung nach § 19 und dem Lohnsteuerabzug als sonstiger Bezug, wenn</w:t>
      </w:r>
    </w:p>
    <w:p>
      <w:pPr>
        <w:ind w:left="420"/>
      </w:pPr>
      <w:r>
        <w:t xml:space="preserve">1. die Vermögensbeteiligung ganz oder teilweise entgeltlich oder unentgeltlich übertragen wird, insbesondere auch in den Fällen des § 17 Absatz 4 und des § 20 Absatz 2 Satz 2 oder bei Einlagen in ein Betriebsvermögen,</w:t>
      </w:r>
    </w:p>
    <w:p>
      <w:pPr>
        <w:ind w:left="420"/>
      </w:pPr>
      <w:r>
        <w:t xml:space="preserve">2. seit der Übertragung der Vermögensbeteiligung 15 Jahre vergangen sind oder</w:t>
      </w:r>
    </w:p>
    <w:p>
      <w:pPr>
        <w:ind w:left="420"/>
      </w:pPr>
      <w:r>
        <w:t xml:space="preserve">3. das Dienstverhältnis zu dem bisherigen Arbeitgeber beendet wird. 2Übernimmt der Arbeitgeber in diesem Fall die Lohnsteuer, ist der übernommene Abzugsbetrag nicht Teil des zu besteuernden Arbeitslohns.</w:t>
      </w:r>
    </w:p>
    <w:p>
      <w:r>
        <w:t xml:space="preserve">2In den Fällen des Satzes 1 ist für die zu besteuernden Arbeitslöhne § 34 Absatz 1 entsprechend anzuwenden, wenn seit der Übertragung der Vermögensbeteiligung mindestens drei Jahre vergangen sind. 3Die nach Satz 1 zu besteuernden Arbeitslöhne sind bei der Berechnung der Vorsorgepauschale (§ 39b Absatz 2 Satz 5 Nummer 3) nicht einzubeziehen. 4Ist in den Fällen des Satzes 1 der gemeine Wert der Vermögensbeteiligung abzüglich geleisteter Zuzahlungen des Arbeitnehmers bei der verbilligten Übertragung niedriger als der nach Absatz 1 nicht besteuerte Arbeitslohn, so unterliegt nur der gemeine Wert der Vermögensbeteiligung abzüglich geleisteter Zuzahlungen der Besteuerung; in den Fällen des Satzes 1 Nummer 3 tritt bei einem Rückerwerb der Vermögensbeteiligung durch den Arbeitgeber, einen Gesellschafter des Arbeitgebers oder ein Unternehmen im Sinne des § 18 des Aktiengesetzes an die Stelle des gemeinen Werts die vom Arbeitgeber gewährte Vergütung. 5In den Fällen des Satzes 4 gilt neben den geleisteten Zuzahlungen nur der tatsächlich besteuerte Arbeitslohn als Anschaffungskosten im Sinne der §§ 17 und 20. 6Die Sätze 4 und 5 sind nicht anzuwenden, soweit die Wertminderung nicht betrieblich veranlasst ist oder diese auf einer gesellschaftsrechtlichen Maßnahme, insbesondere einer Ausschüttung oder Einlagerückgewähr, beruht.</w:t>
      </w:r>
    </w:p>
    <w:p>
      <w:r>
        <w:t xml:space="preserve">(4a) 1Absatz 4 Satz 1 Nummer 2 und 3 ist nicht anzuwenden, wenn der Arbeitgeber spätestens mit der dem betreffenden Ereignis folgenden Lohnsteuer-Anmeldung unwiderruflich erklärt, bei Eintritt des in Absatz 4 Satz 1 Nummer 1 genannten Ereignisses für die betreffende Lohnsteuer zu haften (§ 42d), ohne sich der Haftung durch eine Anzeige nach § 38 Absatz 4 Satz 2 in Verbindung mit § 42d Absatz 2 entziehen zu können. 2Eine Haftungsinanspruchnahme erfordert dann keine weitere Ermessensprüfung mehr.</w:t>
      </w:r>
    </w:p>
    <w:p>
      <w:r>
        <w:t xml:space="preserve">(5) Das Betriebsstättenfinanzamt hat nach der Übertragung einer Vermögensbeteiligung im Rahmen einer Anrufungsauskunft (§ 42e) den vom Arbeitgeber nicht besteuerten Vorteil im Sinne des Absatzes 1 zu bestätigen.</w:t>
      </w:r>
    </w:p>
    <w:p>
      <w:r>
        <w:t xml:space="preserve">(6) 1Der nach Absatz 1 nicht besteuerte gemeine Wert der Vermögensbeteiligung und die übrigen Angaben des nach den vorstehenden Absätzen durchgeführten Besteuerungsverfahrens sind vom Arbeitgeber im Lohnkonto aufzuzeichnen. 2Die Aufbewahrungsfrist nach § 41 Absatz 1 Satz 9 endet insoweit nicht vor Ablauf von sechs Jahren nach der Besteuerung im Sinne des Absatzes 4 Satz 1.</w:t>
      </w:r>
    </w:p>
    <w:p>
      <w:r>
        <w:rPr>
          <w:color w:val="555555"/>
          <w:sz w:val="17"/>
        </w:rPr>
        <w:t xml:space="preserve">Zitiervorschlag: § 19a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