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EStG</w:t>
      </w:r>
    </w:p>
    <w:p>
      <w:r>
        <w:rPr>
          <w:color w:val="555555"/>
          <w:sz w:val="18"/>
        </w:rPr>
        <w:t xml:space="preserve">Einkommensteuergesetz</w:t>
      </w:r>
    </w:p>
    <w:p>
      <w:r>
        <w:rPr>
          <w:color w:val="555555"/>
          <w:sz w:val="18"/>
        </w:rPr>
        <w:t xml:space="preserve">Stand: 04.04.2024 (konsolidierte Textfassung, kein amtliches Inkrafttretensdatum)</w:t>
      </w:r>
    </w:p>
    <w:p>
      <w:r>
        <w:t xml:space="preserve">(1) 1Zu den Einkünften aus nichtselbständiger Arbeit gehören</w:t>
      </w:r>
    </w:p>
    <w:p>
      <w:pPr>
        <w:ind w:left="420"/>
      </w:pPr>
      <w:r>
        <w:t xml:space="preserve">1. Gehälter, Löhne, Gratifikationen, Tantiemen und andere Bezüge und Vorteile für eine Beschäftigung im öffentlichen oder privaten Dienst;</w:t>
      </w:r>
    </w:p>
    <w:p>
      <w:pPr>
        <w:ind w:left="420"/>
      </w:pPr>
      <w:r>
        <w:t xml:space="preserve">1a. Zuwendungen des Arbeitgebers an seinen Arbeitnehmer und dessen Begleitpersonen anlässlich von Veranstaltungen auf betrieblicher Ebene mit gesellschaftlichem Charakter (Betriebsveranstaltung). 2Zuwendungen im Sinne des Satzes 1 sind alle Aufwendungen des Arbeitgebers einschließlich Umsatzsteuer unabhängig davon, ob sie einzelnen Arbeitnehmern individuell zurechenbar sind oder ob es sich um einen rechnerischen Anteil an den Kosten der Betriebsveranstaltung handelt, die der Arbeitgeber gegenüber Dritten für den äußeren Rahmen der Betriebsveranstaltung aufwendet. 3Soweit solche Zuwendungen den Betrag von 110 Euro je Betriebsveranstaltung und teilnehmenden Arbeitnehmer nicht übersteigen, gehören sie nicht zu den Einkünften aus nichtselbständiger Arbeit, wenn die Teilnahme an der Betriebsveranstaltung allen Angehörigen des Betriebs oder eines Betriebsteils offensteht. 4Satz 3 gilt für bis zu zwei Betriebsveranstaltungen jährlich. 5Die Zuwendungen im Sinne des Satzes 1 sind abweichend von § 8 Absatz 2 mit den anteilig auf den Arbeitnehmer und dessen Begleitpersonen entfallenden Aufwendungen des Arbeitgebers im Sinne des Satzes 2 anzusetzen;</w:t>
      </w:r>
    </w:p>
    <w:p>
      <w:pPr>
        <w:ind w:left="420"/>
      </w:pPr>
      <w:r>
        <w:t xml:space="preserve">2. Wartegelder, Ruhegelder, Witwen- und Waisengelder und andere Bezüge und Vorteile aus früheren Dienstleistungen, auch soweit sie von Arbeitgebern ausgleichspflichtiger Personen an ausgleichsberechtigte Personen infolge einer nach § 10 oder § 14 des Versorgungsausgleichsgesetzes durchgeführten Teilung geleistet werden;</w:t>
      </w:r>
    </w:p>
    <w:p>
      <w:pPr>
        <w:ind w:left="420"/>
      </w:pPr>
      <w:r>
        <w:t xml:space="preserve">3. laufende Beiträge und laufende Zuwendungen des Arbeitgebers aus einem bestehenden Dienstverhältnis an einen Pensionsfonds, eine Pensionskasse oder für eine Direktversicherung für eine betriebliche Altersversorgung. 2Zu den Einkünften aus nichtselbständiger Arbeit gehören auch Sonderzahlungen, die der Arbeitgeber neben den laufenden Beiträgen und Zuwendungen an eine solche Versorgungseinrichtung leistet, mit Ausnahme der Zahlungen des Arbeitgebers</w:t>
      </w:r>
    </w:p>
    <w:p>
      <w:pPr>
        <w:ind w:left="780"/>
      </w:pPr>
      <w:r>
        <w:t xml:space="preserve">a) zur erstmaligen Bereitstellung der Kapitalausstattung zur Erfüllung der Solvabilitätskapitalanforderung nach den §§ 89, 213, 234g oder 238 des Versicherungsaufsichtsgesetzes,</w:t>
      </w:r>
    </w:p>
    <w:p>
      <w:pPr>
        <w:ind w:left="780"/>
      </w:pPr>
      <w:r>
        <w:t xml:space="preserve">b) zur Wiederherstellung einer angemessenen Kapitalausstattung nach unvorhersehbaren Verlusten oder zur Finanzierung der Verstärkung der Rechnungsgrundlagen auf Grund einer unvorhersehbaren und nicht nur vorübergehenden Änderung der Verhältnisse, wobei die Sonderzahlungen nicht zu einer Absenkung des laufenden Beitrags führen oder durch die Absenkung des laufenden Beitrags Sonderzahlungen ausgelöst werden dürfen,</w:t>
      </w:r>
    </w:p>
    <w:p>
      <w:pPr>
        <w:ind w:left="780"/>
      </w:pPr>
      <w:r>
        <w:t xml:space="preserve">c) in der Rentenbezugszeit nach § 236 Absatz 2 des Versicherungsaufsichtsgesetzes oder</w:t>
      </w:r>
    </w:p>
    <w:p>
      <w:pPr>
        <w:ind w:left="780"/>
      </w:pPr>
      <w:r>
        <w:t xml:space="preserve">d) in Form von Sanierungsgeldern;</w:t>
      </w:r>
    </w:p>
    <w:p>
      <w:pPr>
        <w:ind w:left="420"/>
      </w:pPr>
      <w:r>
        <w:t xml:space="preserve">Sonderzahlungen des Arbeitgebers sind insbesondere Zahlungen an eine Pensionskasse anlässlich</w:t>
      </w:r>
    </w:p>
    <w:p>
      <w:pPr>
        <w:ind w:left="780"/>
      </w:pPr>
      <w:r>
        <w:t xml:space="preserve">a) seines Ausscheidens aus einer nicht im Wege der Kapitaldeckung finanzierten betrieblichen Altersversorgung oder</w:t>
      </w:r>
    </w:p>
    <w:p>
      <w:pPr>
        <w:ind w:left="780"/>
      </w:pPr>
      <w:r>
        <w:t xml:space="preserve">b) des Wechsels von einer nicht im Wege der Kapitaldeckung zu einer anderen nicht im Wege der Kapitaldeckung finanzierten betrieblichen Altersversorgung.</w:t>
      </w:r>
    </w:p>
    <w:p>
      <w:pPr>
        <w:ind w:left="420"/>
      </w:pPr>
      <w:r>
        <w:t xml:space="preserve">3Von Sonderzahlungen im Sinne des Satzes 2 zweiter Halbsatz Buchstabe b ist bei laufenden und wiederkehrenden Zahlungen entsprechend dem periodischen Bedarf nur auszugehen, soweit die Bemessung der Zahlungsverpflichtungen des Arbeitgebers in das Versorgungssystem nach dem Wechsel die Bemessung der Zahlungsverpflichtung zum Zeitpunkt des Wechsels übersteigt. 4Sanierungsgelder sind Sonderzahlungen des Arbeitgebers an eine Pensionskasse anlässlich der Systemumstellung einer nicht im Wege der Kapitaldeckung finanzierten betrieblichen Altersversorgung auf der Finanzierungs- oder Leistungsseite, die der Finanzierung der zum Zeitpunkt der Umstellung bestehenden Versorgungsverpflichtungen oder Versorgungsanwartschaften dienen; bei laufenden und wiederkehrenden Zahlungen entsprechend dem periodischen Bedarf ist nur von Sanierungsgeldern auszugehen, soweit die Bemessung der Zahlungsverpflichtungen des Arbeitgebers in das Versorgungssystem nach der Systemumstellung die Bemessung der Zahlungsverpflichtung zum Zeitpunkt der Systemumstellung übersteigt.</w:t>
      </w:r>
    </w:p>
    <w:p>
      <w:r>
        <w:t xml:space="preserve">2Es ist gleichgültig, ob es sich um laufende oder um einmalige Bezüge handelt und ob ein Rechtsanspruch auf sie besteht.</w:t>
      </w:r>
    </w:p>
    <w:p>
      <w:r>
        <w:t xml:space="preserve">(2) 1Von Versorgungsbezügen bleiben ein nach einem Prozentsatz ermittelter, auf einen Höchstbetrag begrenzter Betrag (Versorgungsfreibetrag) und ein Zuschlag zum Versorgungsfreibetrag steuerfrei. 2Versorgungsbezüge sind</w:t>
      </w:r>
    </w:p>
    <w:p>
      <w:pPr>
        <w:ind w:left="420"/>
      </w:pPr>
      <w:r>
        <w:t xml:space="preserve">1. das Ruhegehalt, Witwen- oder Waisengeld, der Unterhaltsbeitrag oder ein gleichartiger Bezug</w:t>
      </w:r>
    </w:p>
    <w:p>
      <w:pPr>
        <w:ind w:left="780"/>
      </w:pPr>
      <w:r>
        <w:t xml:space="preserve">a) auf Grund beamtenrechtlicher oder entsprechender gesetzlicher Vorschriften,</w:t>
      </w:r>
    </w:p>
    <w:p>
      <w:pPr>
        <w:ind w:left="780"/>
      </w:pPr>
      <w:r>
        <w:t xml:space="preserve">b) nach beamtenrechtlichen Grundsätzen von Körperschaften, Anstalten oder Stiftungen des öffentlichen Rechts oder öffentlich-rechtlichen Verbänden von Körperschaften</w:t>
      </w:r>
    </w:p>
    <w:p>
      <w:pPr>
        <w:ind w:left="420"/>
      </w:pPr>
      <w:r>
        <w:t xml:space="preserve">oder</w:t>
      </w:r>
    </w:p>
    <w:p>
      <w:pPr>
        <w:ind w:left="420"/>
      </w:pPr>
      <w:r>
        <w:t xml:space="preserve">2. in anderen Fällen Bezüge und Vorteile aus früheren Dienstleistungen wegen Erreichens einer Altersgrenze, verminderter Erwerbsfähigkeit oder Hinterbliebenenbezüge; Bezüge wegen Erreichens einer Altersgrenze gelten erst dann als Versorgungsbezüge, wenn der Steuerpflichtige das 63. Lebensjahr oder, wenn er schwerbehindert ist, das 60. Lebensjahr vollendet hat.</w:t>
      </w:r>
    </w:p>
    <w:p>
      <w:r>
        <w:t xml:space="preserve">3Der maßgebende Prozentsatz, der Höchstbetrag des Versorgungsfreibetrags und der Zuschlag zum Versorgungsfreibetrag sind der nachstehenden Tabelle zu entnehmen:</w:t>
      </w:r>
    </w:p>
    <w:p>
      <w:r>
        <w:rPr>
          <w:rFonts w:ascii="Courier New" w:hAnsi="Courier New"/>
          <w:sz w:val="17"/>
        </w:rPr>
        <w:t xml:space="preserve">Jahr des Versorgungsbeginns    Versorgungsfreibetrag    Zuschlag zum Versorgungsfreibetrag in Euro</w:t>
      </w:r>
    </w:p>
    <w:p>
      <w:r>
        <w:rPr>
          <w:rFonts w:ascii="Courier New" w:hAnsi="Courier New"/>
          <w:sz w:val="17"/>
        </w:rPr>
        <w:t xml:space="preserve">in % der Versorgungsbezüge    Höchstbetrag in Euro</w:t>
      </w:r>
    </w:p>
    <w:p>
      <w:r>
        <w:rPr>
          <w:rFonts w:ascii="Courier New" w:hAnsi="Courier New"/>
          <w:sz w:val="17"/>
        </w:rPr>
        <w:t xml:space="preserve">bis 2005    40,0    3 000    900</w:t>
      </w:r>
    </w:p>
    <w:p>
      <w:r>
        <w:rPr>
          <w:rFonts w:ascii="Courier New" w:hAnsi="Courier New"/>
          <w:sz w:val="17"/>
        </w:rPr>
        <w:t xml:space="preserve">ab 2006    38,4    2 880    864</w:t>
      </w:r>
    </w:p>
    <w:p>
      <w:r>
        <w:rPr>
          <w:rFonts w:ascii="Courier New" w:hAnsi="Courier New"/>
          <w:sz w:val="17"/>
        </w:rPr>
        <w:t xml:space="preserve">2007    36,8    2 760    828</w:t>
      </w:r>
    </w:p>
    <w:p>
      <w:r>
        <w:rPr>
          <w:rFonts w:ascii="Courier New" w:hAnsi="Courier New"/>
          <w:sz w:val="17"/>
        </w:rPr>
        <w:t xml:space="preserve">2008    35,2    2 640    792</w:t>
      </w:r>
    </w:p>
    <w:p>
      <w:r>
        <w:rPr>
          <w:rFonts w:ascii="Courier New" w:hAnsi="Courier New"/>
          <w:sz w:val="17"/>
        </w:rPr>
        <w:t xml:space="preserve">2009    33,6    2 520    756</w:t>
      </w:r>
    </w:p>
    <w:p>
      <w:r>
        <w:rPr>
          <w:rFonts w:ascii="Courier New" w:hAnsi="Courier New"/>
          <w:sz w:val="17"/>
        </w:rPr>
        <w:t xml:space="preserve">2010    32,0    2 400    720</w:t>
      </w:r>
    </w:p>
    <w:p>
      <w:r>
        <w:rPr>
          <w:rFonts w:ascii="Courier New" w:hAnsi="Courier New"/>
          <w:sz w:val="17"/>
        </w:rPr>
        <w:t xml:space="preserve">2011    30,4    2 280    684</w:t>
      </w:r>
    </w:p>
    <w:p>
      <w:r>
        <w:rPr>
          <w:rFonts w:ascii="Courier New" w:hAnsi="Courier New"/>
          <w:sz w:val="17"/>
        </w:rPr>
        <w:t xml:space="preserve">2012    28,8    2 160    648</w:t>
      </w:r>
    </w:p>
    <w:p>
      <w:r>
        <w:rPr>
          <w:rFonts w:ascii="Courier New" w:hAnsi="Courier New"/>
          <w:sz w:val="17"/>
        </w:rPr>
        <w:t xml:space="preserve">2013    27,2    2 040    612</w:t>
      </w:r>
    </w:p>
    <w:p>
      <w:r>
        <w:rPr>
          <w:rFonts w:ascii="Courier New" w:hAnsi="Courier New"/>
          <w:sz w:val="17"/>
        </w:rPr>
        <w:t xml:space="preserve">2014    25,6    1 920    576</w:t>
      </w:r>
    </w:p>
    <w:p>
      <w:r>
        <w:rPr>
          <w:rFonts w:ascii="Courier New" w:hAnsi="Courier New"/>
          <w:sz w:val="17"/>
        </w:rPr>
        <w:t xml:space="preserve">2015    24,0    1 800    540</w:t>
      </w:r>
    </w:p>
    <w:p>
      <w:r>
        <w:rPr>
          <w:rFonts w:ascii="Courier New" w:hAnsi="Courier New"/>
          <w:sz w:val="17"/>
        </w:rPr>
        <w:t xml:space="preserve">2016    22,4    1 680    504</w:t>
      </w:r>
    </w:p>
    <w:p>
      <w:r>
        <w:rPr>
          <w:rFonts w:ascii="Courier New" w:hAnsi="Courier New"/>
          <w:sz w:val="17"/>
        </w:rPr>
        <w:t xml:space="preserve">2017    20,8    1 560    468</w:t>
      </w:r>
    </w:p>
    <w:p>
      <w:r>
        <w:rPr>
          <w:rFonts w:ascii="Courier New" w:hAnsi="Courier New"/>
          <w:sz w:val="17"/>
        </w:rPr>
        <w:t xml:space="preserve">2018    19,2    1 440    432</w:t>
      </w:r>
    </w:p>
    <w:p>
      <w:r>
        <w:rPr>
          <w:rFonts w:ascii="Courier New" w:hAnsi="Courier New"/>
          <w:sz w:val="17"/>
        </w:rPr>
        <w:t xml:space="preserve">2019    17,6    1 320    396</w:t>
      </w:r>
    </w:p>
    <w:p>
      <w:r>
        <w:rPr>
          <w:rFonts w:ascii="Courier New" w:hAnsi="Courier New"/>
          <w:sz w:val="17"/>
        </w:rPr>
        <w:t xml:space="preserve">2020    16,0    1 200    360</w:t>
      </w:r>
    </w:p>
    <w:p>
      <w:r>
        <w:rPr>
          <w:rFonts w:ascii="Courier New" w:hAnsi="Courier New"/>
          <w:sz w:val="17"/>
        </w:rPr>
        <w:t xml:space="preserve">2021    15,2    1 140    342</w:t>
      </w:r>
    </w:p>
    <w:p>
      <w:r>
        <w:rPr>
          <w:rFonts w:ascii="Courier New" w:hAnsi="Courier New"/>
          <w:sz w:val="17"/>
        </w:rPr>
        <w:t xml:space="preserve">2022    14,4    1 080    324</w:t>
      </w:r>
    </w:p>
    <w:p>
      <w:r>
        <w:rPr>
          <w:rFonts w:ascii="Courier New" w:hAnsi="Courier New"/>
          <w:sz w:val="17"/>
        </w:rPr>
        <w:t xml:space="preserve">2023    14,0    1 050    315</w:t>
      </w:r>
    </w:p>
    <w:p>
      <w:r>
        <w:rPr>
          <w:rFonts w:ascii="Courier New" w:hAnsi="Courier New"/>
          <w:sz w:val="17"/>
        </w:rPr>
        <w:t xml:space="preserve">2024    13,6    1 020    306</w:t>
      </w:r>
    </w:p>
    <w:p>
      <w:r>
        <w:rPr>
          <w:rFonts w:ascii="Courier New" w:hAnsi="Courier New"/>
          <w:sz w:val="17"/>
        </w:rPr>
        <w:t xml:space="preserve">2025    13,2    990    297</w:t>
      </w:r>
    </w:p>
    <w:p>
      <w:r>
        <w:rPr>
          <w:rFonts w:ascii="Courier New" w:hAnsi="Courier New"/>
          <w:sz w:val="17"/>
        </w:rPr>
        <w:t xml:space="preserve">2026    12,8    960    288</w:t>
      </w:r>
    </w:p>
    <w:p>
      <w:r>
        <w:rPr>
          <w:rFonts w:ascii="Courier New" w:hAnsi="Courier New"/>
          <w:sz w:val="17"/>
        </w:rPr>
        <w:t xml:space="preserve">2027    12,4    930    279</w:t>
      </w:r>
    </w:p>
    <w:p>
      <w:r>
        <w:rPr>
          <w:rFonts w:ascii="Courier New" w:hAnsi="Courier New"/>
          <w:sz w:val="17"/>
        </w:rPr>
        <w:t xml:space="preserve">2028    12,0    900    270</w:t>
      </w:r>
    </w:p>
    <w:p>
      <w:r>
        <w:rPr>
          <w:rFonts w:ascii="Courier New" w:hAnsi="Courier New"/>
          <w:sz w:val="17"/>
        </w:rPr>
        <w:t xml:space="preserve">2029    11,6    870    261</w:t>
      </w:r>
    </w:p>
    <w:p>
      <w:r>
        <w:rPr>
          <w:rFonts w:ascii="Courier New" w:hAnsi="Courier New"/>
          <w:sz w:val="17"/>
        </w:rPr>
        <w:t xml:space="preserve">2030    11,2    840    252</w:t>
      </w:r>
    </w:p>
    <w:p>
      <w:r>
        <w:rPr>
          <w:rFonts w:ascii="Courier New" w:hAnsi="Courier New"/>
          <w:sz w:val="17"/>
        </w:rPr>
        <w:t xml:space="preserve">2031    10,8    810    243</w:t>
      </w:r>
    </w:p>
    <w:p>
      <w:r>
        <w:rPr>
          <w:rFonts w:ascii="Courier New" w:hAnsi="Courier New"/>
          <w:sz w:val="17"/>
        </w:rPr>
        <w:t xml:space="preserve">2032    10,4    780    234</w:t>
      </w:r>
    </w:p>
    <w:p>
      <w:r>
        <w:rPr>
          <w:rFonts w:ascii="Courier New" w:hAnsi="Courier New"/>
          <w:sz w:val="17"/>
        </w:rPr>
        <w:t xml:space="preserve">2033    10,0    750    225</w:t>
      </w:r>
    </w:p>
    <w:p>
      <w:r>
        <w:rPr>
          <w:rFonts w:ascii="Courier New" w:hAnsi="Courier New"/>
          <w:sz w:val="17"/>
        </w:rPr>
        <w:t xml:space="preserve">2034    9,6    720    216</w:t>
      </w:r>
    </w:p>
    <w:p>
      <w:r>
        <w:rPr>
          <w:rFonts w:ascii="Courier New" w:hAnsi="Courier New"/>
          <w:sz w:val="17"/>
        </w:rPr>
        <w:t xml:space="preserve">2035    9,2    690    207</w:t>
      </w:r>
    </w:p>
    <w:p>
      <w:r>
        <w:rPr>
          <w:rFonts w:ascii="Courier New" w:hAnsi="Courier New"/>
          <w:sz w:val="17"/>
        </w:rPr>
        <w:t xml:space="preserve">2036    8,8    660    198</w:t>
      </w:r>
    </w:p>
    <w:p>
      <w:r>
        <w:rPr>
          <w:rFonts w:ascii="Courier New" w:hAnsi="Courier New"/>
          <w:sz w:val="17"/>
        </w:rPr>
        <w:t xml:space="preserve">2037    8,4    630    189</w:t>
      </w:r>
    </w:p>
    <w:p>
      <w:r>
        <w:rPr>
          <w:rFonts w:ascii="Courier New" w:hAnsi="Courier New"/>
          <w:sz w:val="17"/>
        </w:rPr>
        <w:t xml:space="preserve">2038    8,0    600    180</w:t>
      </w:r>
    </w:p>
    <w:p>
      <w:r>
        <w:rPr>
          <w:rFonts w:ascii="Courier New" w:hAnsi="Courier New"/>
          <w:sz w:val="17"/>
        </w:rPr>
        <w:t xml:space="preserve">2039    7,6    570    171</w:t>
      </w:r>
    </w:p>
    <w:p>
      <w:r>
        <w:rPr>
          <w:rFonts w:ascii="Courier New" w:hAnsi="Courier New"/>
          <w:sz w:val="17"/>
        </w:rPr>
        <w:t xml:space="preserve">2040    7,2    540    162</w:t>
      </w:r>
    </w:p>
    <w:p>
      <w:r>
        <w:rPr>
          <w:rFonts w:ascii="Courier New" w:hAnsi="Courier New"/>
          <w:sz w:val="17"/>
        </w:rPr>
        <w:t xml:space="preserve">2041    6,8    510    153</w:t>
      </w:r>
    </w:p>
    <w:p>
      <w:r>
        <w:rPr>
          <w:rFonts w:ascii="Courier New" w:hAnsi="Courier New"/>
          <w:sz w:val="17"/>
        </w:rPr>
        <w:t xml:space="preserve">2042    6,4    480    144</w:t>
      </w:r>
    </w:p>
    <w:p>
      <w:r>
        <w:rPr>
          <w:rFonts w:ascii="Courier New" w:hAnsi="Courier New"/>
          <w:sz w:val="17"/>
        </w:rPr>
        <w:t xml:space="preserve">2043    6,0    450    135</w:t>
      </w:r>
    </w:p>
    <w:p>
      <w:r>
        <w:rPr>
          <w:rFonts w:ascii="Courier New" w:hAnsi="Courier New"/>
          <w:sz w:val="17"/>
        </w:rPr>
        <w:t xml:space="preserve">2044    5,6    420    126</w:t>
      </w:r>
    </w:p>
    <w:p>
      <w:r>
        <w:rPr>
          <w:rFonts w:ascii="Courier New" w:hAnsi="Courier New"/>
          <w:sz w:val="17"/>
        </w:rPr>
        <w:t xml:space="preserve">2045    5,2    390    117</w:t>
      </w:r>
    </w:p>
    <w:p>
      <w:r>
        <w:rPr>
          <w:rFonts w:ascii="Courier New" w:hAnsi="Courier New"/>
          <w:sz w:val="17"/>
        </w:rPr>
        <w:t xml:space="preserve">2046    4,8    360    108</w:t>
      </w:r>
    </w:p>
    <w:p>
      <w:r>
        <w:rPr>
          <w:rFonts w:ascii="Courier New" w:hAnsi="Courier New"/>
          <w:sz w:val="17"/>
        </w:rPr>
        <w:t xml:space="preserve">2047    4,4    330    99</w:t>
      </w:r>
    </w:p>
    <w:p>
      <w:r>
        <w:rPr>
          <w:rFonts w:ascii="Courier New" w:hAnsi="Courier New"/>
          <w:sz w:val="17"/>
        </w:rPr>
        <w:t xml:space="preserve">2048    4,0    300    90</w:t>
      </w:r>
    </w:p>
    <w:p>
      <w:r>
        <w:rPr>
          <w:rFonts w:ascii="Courier New" w:hAnsi="Courier New"/>
          <w:sz w:val="17"/>
        </w:rPr>
        <w:t xml:space="preserve">2049    3,6    270    81</w:t>
      </w:r>
    </w:p>
    <w:p>
      <w:r>
        <w:rPr>
          <w:rFonts w:ascii="Courier New" w:hAnsi="Courier New"/>
          <w:sz w:val="17"/>
        </w:rPr>
        <w:t xml:space="preserve">2050    3,2    240    72</w:t>
      </w:r>
    </w:p>
    <w:p>
      <w:r>
        <w:rPr>
          <w:rFonts w:ascii="Courier New" w:hAnsi="Courier New"/>
          <w:sz w:val="17"/>
        </w:rPr>
        <w:t xml:space="preserve">2051    2,8    210    63</w:t>
      </w:r>
    </w:p>
    <w:p>
      <w:r>
        <w:rPr>
          <w:rFonts w:ascii="Courier New" w:hAnsi="Courier New"/>
          <w:sz w:val="17"/>
        </w:rPr>
        <w:t xml:space="preserve">2052    2,4    180    54</w:t>
      </w:r>
    </w:p>
    <w:p>
      <w:r>
        <w:rPr>
          <w:rFonts w:ascii="Courier New" w:hAnsi="Courier New"/>
          <w:sz w:val="17"/>
        </w:rPr>
        <w:t xml:space="preserve">2053    2,0    150    45</w:t>
      </w:r>
    </w:p>
    <w:p>
      <w:r>
        <w:rPr>
          <w:rFonts w:ascii="Courier New" w:hAnsi="Courier New"/>
          <w:sz w:val="17"/>
        </w:rPr>
        <w:t xml:space="preserve">2054    1,6    120    36</w:t>
      </w:r>
    </w:p>
    <w:p>
      <w:r>
        <w:rPr>
          <w:rFonts w:ascii="Courier New" w:hAnsi="Courier New"/>
          <w:sz w:val="17"/>
        </w:rPr>
        <w:t xml:space="preserve">2055    1,2    90    27</w:t>
      </w:r>
    </w:p>
    <w:p>
      <w:r>
        <w:rPr>
          <w:rFonts w:ascii="Courier New" w:hAnsi="Courier New"/>
          <w:sz w:val="17"/>
        </w:rPr>
        <w:t xml:space="preserve">2056    0,8    60    18</w:t>
      </w:r>
    </w:p>
    <w:p>
      <w:r>
        <w:rPr>
          <w:rFonts w:ascii="Courier New" w:hAnsi="Courier New"/>
          <w:sz w:val="17"/>
        </w:rPr>
        <w:t xml:space="preserve">2057    0,4    30    9</w:t>
      </w:r>
    </w:p>
    <w:p>
      <w:r>
        <w:rPr>
          <w:rFonts w:ascii="Courier New" w:hAnsi="Courier New"/>
          <w:sz w:val="17"/>
        </w:rPr>
        <w:t xml:space="preserve">2058    0,0    0    0</w:t>
      </w:r>
    </w:p>
    <w:p>
      <w:r>
        <w:t xml:space="preserve">4Bemessungsgrundlage für den Versorgungsfreibetrag ist</w:t>
      </w:r>
    </w:p>
    <w:p>
      <w:pPr>
        <w:ind w:left="420"/>
      </w:pPr>
      <w:r>
        <w:t xml:space="preserve">a) bei Versorgungsbeginn vor 2005das Zwölffache des Versorgungsbezugs für Januar 2005,</w:t>
      </w:r>
    </w:p>
    <w:p>
      <w:pPr>
        <w:ind w:left="420"/>
      </w:pPr>
      <w:r>
        <w:t xml:space="preserve">b) bei Versorgungsbeginn ab 2005das Zwölffache des Versorgungsbezugs für den ersten vollen Monat,</w:t>
      </w:r>
    </w:p>
    <w:p>
      <w:r>
        <w:t xml:space="preserve">jeweils zuzüglich voraussichtlicher Sonderzahlungen im Kalenderjahr, auf die zu diesem Zeitpunkt ein Rechtsanspruch besteht. 5Der Zuschlag zum Versorgungsfreibetrag darf nur bis zur Höhe der um den Versorgungsfreibetrag geminderten Bemessungsgrundlage berücksichtigt werden. 6Bei mehreren Versorgungsbezügen mit unterschiedlichem Bezugsbeginn bestimmen sich der insgesamt berücksichtigungsfähige Höchstbetrag des Versorgungsfreibetrags und der Zuschlag zum Versorgungsfreibetrag nach dem Jahr des Beginns des ersten Versorgungsbezugs. 7Folgt ein Hinterbliebenenbezug einem Versorgungsbezug, bestimmen sich der Prozentsatz, der Höchstbetrag des Versorgungsfreibetrags und der Zuschlag zum Versorgungsfreibetrag für den Hinterbliebenenbezug nach dem Jahr des Beginns des Versorgungsbezugs. 8Der nach den Sätzen 3 bis 7 berechnete Versorgungsfreibetrag und Zuschlag zum Versorgungsfreibetrag gelten für die gesamte Laufzeit des Versorgungsbezugs. 9Regelmäßige Anpassungen des Versorgungsbezugs führen nicht zu einer Neuberechnung. 10Abweichend hiervon sind der Versorgungsfreibetrag und der Zuschlag zum Versorgungsfreibetrag neu zu berechnen, wenn sich der Versorgungsbezug wegen Anwendung von Anrechnungs-, Ruhens-, Erhöhungs- oder Kürzungsregelungen erhöht oder vermindert. 11In diesen Fällen sind die Sätze 3 bis 7 mit dem geänderten Versorgungsbezug als Bemessungsgrundlage im Sinne des Satzes 4 anzuwenden; im Kalenderjahr der Änderung sind der höchste Versorgungsfreibetrag und Zuschlag zum Versorgungsfreibetrag maßgebend. 12Für jeden vollen Kalendermonat, für den keine Versorgungsbezüge gezahlt werden, ermäßigen sich der Versorgungsfreibetrag und der Zuschlag zum Versorgungsfreibetrag in diesem Kalenderjahr um je ein Zwölftel.</w:t>
      </w:r>
    </w:p>
    <w:p>
      <w:r>
        <w:t xml:space="preserve">(3) 1Die Energiepreispauschale nach dem Versorgungsrechtlichen Energiepreispauschalen-Gewährungsgesetz oder vergleichbare Leistungen zum Ausgleich gestiegener Energiepreise nach Landesrecht sind als Einnahmen nach Absatz 2 zu berücksichtigen. 2Sie gelten nicht als Sonderzahlung im Sinne von Absatz 2 Satz 4, jedoch als regelmäßige Anpassung des Versorgungsbezugs im Sinne von Absatz 2 Satz 9. 3Im Lohnsteuerabzugsverfahren sind die Energiepreispauschale und vergleichbare Leistungen bei der Berechnung einer Vorsorgepauschale nach § 39b Absatz 2 Satz 5 Nummer 3 Buchstabe b und c nicht zu berücksichtigen. 4In den Fällen des Satzes 1 sind die §§ 3 und 24a nicht anzuwenden.</w:t>
      </w:r>
    </w:p>
    <w:p>
      <w:r>
        <w:rPr>
          <w:color w:val="555555"/>
          <w:sz w:val="17"/>
        </w:rPr>
        <w:t xml:space="preserve">Zitiervorschlag: § 19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