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EStG — Einkünfte aus Land- und Forstwirtschaft</w:t>
      </w:r>
    </w:p>
    <w:p>
      <w:r>
        <w:rPr>
          <w:color w:val="555555"/>
          <w:sz w:val="18"/>
        </w:rPr>
        <w:t xml:space="preserve">Einkommensteuergesetz</w:t>
      </w:r>
    </w:p>
    <w:p>
      <w:r>
        <w:rPr>
          <w:color w:val="555555"/>
          <w:sz w:val="18"/>
        </w:rPr>
        <w:t xml:space="preserve">Stand: 01.01.2025 (konsolidierte Textfassung, kein amtliches Inkrafttretensdatum)</w:t>
      </w:r>
    </w:p>
    <w:p>
      <w:r>
        <w:t xml:space="preserve">(1) Einkünfte aus Land- und Forstwirtschaft sind</w:t>
      </w:r>
    </w:p>
    <w:p>
      <w:pPr>
        <w:ind w:left="420"/>
      </w:pPr>
      <w:r>
        <w:t xml:space="preserve">1. Einkünfte aus dem Betrieb von Landwirtschaft, Forstwirtschaft, Weinbau, Gartenbau und aus allen Betrieben, die Pflanzen und Pflanzenteile mit Hilfe der Naturkräfte gewinnen. 2Zu diesen Einkünften gehören auch die Einkünfte aus der Tierzucht und Tierhaltung, wenn im Wirtschaftsjahr</w:t>
      </w:r>
    </w:p>
    <w:p>
      <w:r>
        <w:rPr>
          <w:rFonts w:ascii="Courier New" w:hAnsi="Courier New"/>
          <w:sz w:val="17"/>
        </w:rPr>
        <w:t xml:space="preserve">für die ersten 20 Hektar    nicht mehr als 10 Vieheinheiten,</w:t>
      </w:r>
    </w:p>
    <w:p>
      <w:r>
        <w:rPr>
          <w:rFonts w:ascii="Courier New" w:hAnsi="Courier New"/>
          <w:sz w:val="17"/>
        </w:rPr>
        <w:t xml:space="preserve">für die nächsten10 Hektar    nicht mehr als 7 Vieheinheiten,</w:t>
      </w:r>
    </w:p>
    <w:p>
      <w:r>
        <w:rPr>
          <w:rFonts w:ascii="Courier New" w:hAnsi="Courier New"/>
          <w:sz w:val="17"/>
        </w:rPr>
        <w:t xml:space="preserve">für die nächsten20 Hektar    nicht mehr als 6 Vieheinheiten,</w:t>
      </w:r>
    </w:p>
    <w:p>
      <w:r>
        <w:rPr>
          <w:rFonts w:ascii="Courier New" w:hAnsi="Courier New"/>
          <w:sz w:val="17"/>
        </w:rPr>
        <w:t xml:space="preserve">für die nächsten50 Hektar    nicht mehr als 3 Vieheinheiten</w:t>
      </w:r>
    </w:p>
    <w:p>
      <w:r>
        <w:rPr>
          <w:rFonts w:ascii="Courier New" w:hAnsi="Courier New"/>
          <w:sz w:val="17"/>
        </w:rPr>
        <w:t xml:space="preserve">und für die weitereFläche    nicht mehr als 1,5 Vieheinheiten</w:t>
      </w:r>
    </w:p>
    <w:p>
      <w:pPr>
        <w:ind w:left="420"/>
      </w:pPr>
      <w:r>
        <w:t xml:space="preserve">je Hektar der vom Inhaber des Betriebs regelmäßig landwirtschaftlich genutzten Fläche erzeugt oder gehalten werden. 3Die Tierbestände sind nach dem Futterbedarf in Vieheinheiten umzurechnen. 4§ 241 Absatz 2 bis 5 des Bewertungsgesetzes ist anzuwenden. 5Die Einkünfte aus Tierzucht und Tierhaltung einer Gesellschaft, bei der die Gesellschafter als Unternehmer (Mitunternehmer) anzusehen sind, gehören zu den Einkünften im Sinne des Satzes 1, wenn die Voraussetzungen des § 13b erfüllt sind und andere Einkünfte der Gesellschafter aus dieser Gesellschaft zu den Einkünften aus Land- und Forstwirtschaft gehören;</w:t>
      </w:r>
    </w:p>
    <w:p>
      <w:pPr>
        <w:ind w:left="420"/>
      </w:pPr>
      <w:r>
        <w:t xml:space="preserve">2. Einkünfte aus sonstiger land- und forstwirtschaftlicher Nutzung (§ 242 des Bewertungsgesetzes);</w:t>
      </w:r>
    </w:p>
    <w:p>
      <w:pPr>
        <w:ind w:left="420"/>
      </w:pPr>
      <w:r>
        <w:t xml:space="preserve">3. Einkünfte aus Jagd, wenn diese mit dem Betrieb einer Landwirtschaft oder einer Forstwirtschaft im Zusammenhang steht;</w:t>
      </w:r>
    </w:p>
    <w:p>
      <w:pPr>
        <w:ind w:left="420"/>
      </w:pPr>
      <w:r>
        <w:t xml:space="preserve">4. Einkünfte von Hauberg-, Wald-, Forst- und Laubgenossenschaften und ähnlichen Realgemeinden im Sinne des § 3 Absatz 2 des Körperschaftsteuergesetzes.</w:t>
      </w:r>
    </w:p>
    <w:p>
      <w:r>
        <w:t xml:space="preserve">(2) Zu den Einkünften im Sinne des Absatzes 1 gehören auch</w:t>
      </w:r>
    </w:p>
    <w:p>
      <w:pPr>
        <w:ind w:left="420"/>
      </w:pPr>
      <w:r>
        <w:t xml:space="preserve">1. Einkünfte aus einem land- und forstwirtschaftlichen Nebenbetrieb. 2Als Nebenbetrieb gilt ein Betrieb, der dem land- und forstwirtschaftlichen Hauptbetrieb zu dienen bestimmt ist;</w:t>
      </w:r>
    </w:p>
    <w:p>
      <w:pPr>
        <w:ind w:left="420"/>
      </w:pPr>
      <w:r>
        <w:t xml:space="preserve">2. der Nutzungswert der Wohnung des Steuerpflichtigen, wenn die Wohnung die bei Betrieben gleicher Art übliche Größe nicht überschreitet und das Gebäude oder der Gebäudeteil nach den jeweiligen landesrechtlichen Vorschriften ein Baudenkmal ist;</w:t>
      </w:r>
    </w:p>
    <w:p>
      <w:pPr>
        <w:ind w:left="420"/>
      </w:pPr>
      <w:r>
        <w:t xml:space="preserve">3. die Produktionsaufgaberente nach dem Gesetz zur Förderung der Einstellung der landwirtschaftlichen Erwerbstätigkeit.</w:t>
      </w:r>
    </w:p>
    <w:p>
      <w:r>
        <w:t xml:space="preserve">(3) 1Die Einkünfte aus Land- und Forstwirtschaft werden bei der Ermittlung des Gesamtbetrags der Einkünfte nur berücksichtigt, soweit sie den Betrag von 900 Euro übersteigen. 2Satz 1 ist nur anzuwenden, wenn die Summe der Einkünfte 30 700 Euro nicht übersteigt. 3Im Fall der Zusammenveranlagung von Ehegatten verdoppeln sich die Beträge der Sätze 1 und 2.</w:t>
      </w:r>
    </w:p>
    <w:p>
      <w:r>
        <w:t xml:space="preserve">(4) 1Absatz 2 Nummer 2 findet nur Anwendung, sofern im Veranlagungszeitraum 1986 bei einem Steuerpflichtigen für die von ihm zu eigenen Wohnzwecken oder zu Wohnzwecken des Altenteilers genutzte Wohnung die Voraussetzungen für die Anwendung des § 13 Absatz 2 Nummer 2 des Einkommensteuergesetzes in der Fassung der Bekanntmachung vom 16. April 1997 (BGBl. I S. 821) vorlagen. 2Der Steuerpflichtige kann für einen Veranlagungszeitraum nach dem Veranlagungszeitraum 1998 unwiderruflich beantragen, dass Absatz 2 Nummer 2 ab diesem Veranlagungszeitraum nicht mehr angewendet wird. 3§ 52 Absatz 21 Satz 4 und 6 des Einkommensteuergesetzes in der Fassung der Bekanntmachung vom 16. April 1997 (BGBl. I S. 821) ist entsprechend anzuwenden. 4Im Fall des Satzes 2 gelten die Wohnung des Steuerpflichtigen und die Altenteilerwohnung sowie der dazugehörende Grund und Boden zu dem Zeitpunkt als entnommen, bis zu dem Absatz 2 Nummer 2 letztmals angewendet wird. 5Der Entnahmegewinn bleibt außer Ansatz. 6Werden</w:t>
      </w:r>
    </w:p>
    <w:p>
      <w:pPr>
        <w:ind w:left="420"/>
      </w:pPr>
      <w:r>
        <w:t xml:space="preserve">1. die Wohnung und der dazugehörende Grund und Boden entnommen oder veräußert, bevor sie nach Satz 4 als entnommen gelten, oder</w:t>
      </w:r>
    </w:p>
    <w:p>
      <w:pPr>
        <w:ind w:left="420"/>
      </w:pPr>
      <w:r>
        <w:t xml:space="preserve">2. eine vor dem 1. Januar 1987 einem Dritten entgeltlich zur Nutzung überlassene Wohnung und der dazugehörende Grund und Boden für eigene Wohnzwecke oder für Wohnzwecke eines Altenteilers entnommen,</w:t>
      </w:r>
    </w:p>
    <w:p>
      <w:r>
        <w:t xml:space="preserve">bleibt der Entnahme- oder Veräußerungsgewinn ebenfalls außer Ansatz; Nummer 2 ist nur anzuwenden, soweit nicht Wohnungen vorhanden sind, die Wohnzwecken des Eigentümers des Betriebs oder Wohnzwecken eines Altenteilers dienen und die unter Satz 4 oder unter Nummer 1 fallen.</w:t>
      </w:r>
    </w:p>
    <w:p>
      <w:r>
        <w:t xml:space="preserve">(5) Wird Grund und Boden dadurch entnommen, dass auf diesem Grund und Boden die Wohnung des Steuerpflichtigen oder eine Altenteilerwohnung errichtet wird, bleibt der Entnahmegewinn außer Ansatz; der Steuerpflichtige kann die Regelung nur für eine zu eigenen Wohnzwecken genutzte Wohnung und für eine Altenteilerwohnung in Anspruch nehmen.</w:t>
      </w:r>
    </w:p>
    <w:p>
      <w:r>
        <w:t xml:space="preserve">(6) 1Werden einzelne Wirtschaftsgüter eines land- und forstwirtschaftlichen Betriebs auf einen der gemeinschaftlichen Tierhaltung dienenden Betrieb im Sinne des § 13b einer Genossenschaft oder eines Vereins gegen Gewährung von Mitgliedsrechten übertragen, so ist die auf den dabei entstehenden Gewinn entfallende Einkommensteuer auf Antrag in jährlichen Teilbeträgen zu entrichten. 2Der einzelne Teilbetrag muss mindestens ein Fünftel dieser Steuer betragen.</w:t>
      </w:r>
    </w:p>
    <w:p>
      <w:r>
        <w:t xml:space="preserve">(7) § 15 Absatz 1 Satz 1 Nummer 2, Absatz 1a, Absatz 2 Satz 2 und 3, §§ 15a und 15b sind entsprechend anzuwenden.</w:t>
      </w:r>
    </w:p>
    <w:p>
      <w:r>
        <w:rPr>
          <w:color w:val="555555"/>
          <w:sz w:val="17"/>
        </w:rPr>
        <w:t xml:space="preserve">Zitiervorschlag: § 13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