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125 EStG — Zufluss und Besteuerung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Außer Kraft: § 125 ist seit 06.01.2024 nicht mehr im EStG enthalten. Angezeigt wird die letzte bekannte Fassung, Stand 23.12.2022.</w:t>
      </w:r>
    </w:p>
    <w:p>
      <w:r>
        <w:t xml:space="preserve">1Ist eine Entlastung nach § 123 Absatz 1 den Einkünften aus Leistungen nach § 22 Nummer 3 Satz 1 zuzuordnen, gelten für deren Besteuerung die in den Rechnungen nach § 2 Absatz 3, § 3 Absatz 1 Satz 4 und nach § 4 Absatz 2 des Erdgas-Wärme-Soforthilfegesetzes als Kostenentlastung gesondert ausgewiesenen Beträge im Veranlagungszeitraum der Erteilung dieser Rechnung als nach § 11 Absatz 1 Satz 1 zugeflossen. 2Satz 1 gilt entsprechend für die Abrechnungen der Vermieter und Verpächter nach § 5 Absatz 1 und 5 des Erdgas-Wärme-Soforthilfegesetzes sowie der Wohnungseigentümergemeinschaften nach § 5 Absatz 3 des Erdgas-Wärme-Soforthilfegesetzes.</w:t>
      </w:r>
    </w:p>
    <w:p>
      <w:r>
        <w:rPr>
          <w:color w:val="555555"/>
          <w:sz w:val="17"/>
        </w:rPr>
        <w:t xml:space="preserve">Zitiervorschlag: § 125 EStG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https://recht.nulegal.eu/gesetze/EStG/125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