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124 EStG — Einstieg und Milderungszone</w:t>
      </w:r>
    </w:p>
    <w:p>
      <w:r>
        <w:rPr>
          <w:color w:val="555555"/>
          <w:sz w:val="18"/>
        </w:rPr>
        <w:t xml:space="preserve">Einkommensteuergesetz</w:t>
      </w:r>
    </w:p>
    <w:p>
      <w:r>
        <w:rPr>
          <w:color w:val="555555"/>
          <w:sz w:val="18"/>
        </w:rPr>
        <w:t xml:space="preserve">Außer Kraft: § 124 ist seit 06.01.2024 nicht mehr im EStG enthalten. Angezeigt wird die letzte bekannte Fassung, Stand 23.12.2022.</w:t>
      </w:r>
    </w:p>
    <w:p>
      <w:r>
        <w:t xml:space="preserve">(1) 1Die Entlastung nach § 123 Absatz 1 ist mit Beginn der Milderungszone des Absatzes 2 dem zu versteuernden Einkommen nach § 2 Absatz 5 Satz 1 in Höhe des Hinzurechnungsbetrags nach Absatz 2 zuzurechnen. 2Oberhalb der Milderungszone des Absatzes 2 wird die Entlastung nach § 123 Absatz 1 dem zu versteuernden Einkommen des § 2 Absatz 5 Satz 1 in voller Höhe zugerechnet.</w:t>
      </w:r>
    </w:p>
    <w:p>
      <w:r>
        <w:t xml:space="preserve">(2) 1Die Milderungszone beginnt ab einem zu versteuernden Einkommen von 66 915 Euro und endet bei einem zu versteuernden Einkommen von 104 009 Euro. 2Bei Ehegatten, die zusammenveranlagt werden, beginnt die Milderungszone ab einem zu versteuernden Einkommen von 133 830 Euro und endet bei einem zu versteuernden Einkommen von 208 018 Euro. 3Im Bereich der Milderungszone ist als Zurechnungsbetrag nach § 123 Absatz 2 nur der Bruchteil der Entlastungen des § 123 Absatz 1 einzubeziehen, der sich als Differenz aus dem individuellen zu versteuernden Einkommen des Steuerpflichtigen und der Untergrenze der Milderungszone dividiert durch die Breite der Milderungszone errechnet.</w:t>
      </w:r>
    </w:p>
    <w:p>
      <w:r>
        <w:rPr>
          <w:color w:val="555555"/>
          <w:sz w:val="17"/>
        </w:rPr>
        <w:t xml:space="preserve">Zitiervorschlag: § 124 EStG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https://recht.nulegal.eu/gesetze/EStG/124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