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EStG — Nichtberücksichtigung als Einkommen bei Sozialleistungen, Unpfändbarkeit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23.12.2022 (konsolidierte Textfassung, kein amtliches Inkrafttretensdatum)</w:t>
      </w:r>
    </w:p>
    <w:p>
      <w:r>
        <w:t xml:space="preserve">1Die Energiepreispauschale ist bei einkommensabhängigen Sozialleistungen nicht als Einkommen zu berücksichtigen. 2Die Energiepreispauschale ist in Höhe des in § 112 Absatz 2 genannten Betrages unpfändbar.</w:t>
      </w:r>
    </w:p>
    <w:p>
      <w:r>
        <w:rPr>
          <w:color w:val="555555"/>
          <w:sz w:val="17"/>
        </w:rPr>
        <w:t xml:space="preserve">Zitiervorschlag: § 122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