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EStG — Anwendung von Straf- und Bußgeldvorschriften der Abgabenordnung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(1) Für die Energiepreispauschale gelten die Strafvorschriften des § 370 Absatz 1 bis 4 und 7, der §§ 371, 375 Absatz 1 und des § 376 der Abgabenordnung sowie die Bußgeldvorschriften der §§ 378 und 379 Absatz 1 und 4 sowie der §§ 383 und 384 der Abgabenordnung entsprechend.</w:t>
      </w:r>
    </w:p>
    <w:p>
      <w:r>
        <w:t xml:space="preserve">(2) Für das Strafverfahren wegen einer Straftat nach Absatz 1 sowie der Begünstigung einer Person, die eine solche Tat begangen hat, gelten die §§ 385 bis 408 der Abgabenordnung entsprechend.</w:t>
      </w:r>
    </w:p>
    <w:p>
      <w:r>
        <w:t xml:space="preserve">(3) Für das Bußgeldverfahren wegen einer Ordnungswidrigkeit nach Absatz 1 gelten die §§ 409 bis 412 der Abgabenordnung entsprechend.</w:t>
      </w:r>
    </w:p>
    <w:p>
      <w:r>
        <w:rPr>
          <w:color w:val="555555"/>
          <w:sz w:val="17"/>
        </w:rPr>
        <w:t xml:space="preserve">Zitiervorschlag: § 121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