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120 EStG — Anwendung der Abgabenordnung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(1) 1Auf die Energiepreispauschale sind die für Steuervergütungen geltenden Vorschriften der Abgabenordnung entsprechend anzuwenden. 2§ 163 der Abgabenordnung gilt nicht.</w:t>
      </w:r>
    </w:p>
    <w:p>
      <w:r>
        <w:t xml:space="preserve">(2) In öffentlich-rechtlichen Streitigkeiten über die zur Energiepreispauschale ergehenden Verwaltungsakte der Finanzbehörden ist der Finanzrechtsweg eröffnet.</w:t>
      </w:r>
    </w:p>
    <w:p>
      <w:r>
        <w:rPr>
          <w:color w:val="555555"/>
          <w:sz w:val="17"/>
        </w:rPr>
        <w:t xml:space="preserve">Zitiervorschlag: § 120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