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EStG — Steuerpflicht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1Bei Anspruchsberechtigten, die im Veranlagungszeitraum 2022 Einkünfte aus nichtselbständiger Arbeit erzielt haben, ist die Energiepreispauschale stets als Einnahme nach § 19 Absatz 1 Satz 1 Nummer 1 für den Veranlagungszeitraum 2022 zu berücksichtigen. 2Dies gilt nicht für pauschal besteuerten Arbeitslohn nach § 40a. 3Im Lohnsteuerabzugsverfahren ist die Energiepreispauschale bei der Berechnung einer Vorsorgepauschale nach § 39b Absatz 2 Satz 5 Nummer 3 Buchstabe a bis c nicht zu berücksichtigen.</w:t>
      </w:r>
    </w:p>
    <w:p>
      <w:r>
        <w:t xml:space="preserve">(2) 1Bei den übrigen Anspruchsberechtigten gilt die Energiepreispauschale stets als Einnahme nach § 22 Nummer 3 für den Veranlagungszeitraum 2022. 2Die Freigrenze nach § 22 Nummer 3 Satz 2 ist insoweit nicht anzuwenden.</w:t>
      </w:r>
    </w:p>
    <w:p>
      <w:r>
        <w:rPr>
          <w:color w:val="555555"/>
          <w:sz w:val="17"/>
        </w:rPr>
        <w:t xml:space="preserve">Zitiervorschlag: § 119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