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EStG — Energiepreispauschale im Einkommensteuer-Vorauszahlungsverfahren</w:t>
      </w:r>
    </w:p>
    <w:p>
      <w:r>
        <w:rPr>
          <w:color w:val="555555"/>
          <w:sz w:val="18"/>
        </w:rPr>
        <w:t xml:space="preserve">Einkommensteuergesetz</w:t>
      </w:r>
    </w:p>
    <w:p>
      <w:r>
        <w:rPr>
          <w:color w:val="555555"/>
          <w:sz w:val="18"/>
        </w:rPr>
        <w:t xml:space="preserve">Stand: 28.05.2022 (konsolidierte Textfassung, kein amtliches Inkrafttretensdatum)</w:t>
      </w:r>
    </w:p>
    <w:p>
      <w:r>
        <w:t xml:space="preserve">(1) 1Ist eine Einkommensteuer-Vorauszahlung auch für Einkünfte aus § 13, § 15 oder § 18 für den 10. September 2022 festgesetzt worden, dann ist diese Festsetzung um die Energiepreispauschale zu mindern. 2Betragen die für den 10. September 2022 festgesetzten Vorauszahlungen weniger als 300 Euro, so mindert die Energiepreispauschale die Vorauszahlung auf 0 Euro.</w:t>
      </w:r>
    </w:p>
    <w:p>
      <w:r>
        <w:t xml:space="preserve">(2) 1Die Minderung der Einkommensteuer-Vorauszahlung für den 10. September 2022 nach Absatz 1 hat durch Allgemeinverfügung nach § 118 Satz 2 der Abgabenordnung oder durch geänderten Vorauszahlungsbescheid zu erfolgen. 2Sachlich zuständig für den Erlass der Allgemeinverfügung ist jeweils die oberste Landesfinanzbehörde. 3Die Allgemeinverfügung ist im Bundessteuerblatt und auf den Internetseiten des Bundesministeriums der Finanzen zu veröffentlichen. 4Sie gilt am Tag nach der Herausgabe des Bundessteuerblattes, in dem sie veröffentlicht wird, als bekannt gegeben. 5Abweichend von § 47 Absatz 1 der Finanzgerichtsordnung endet die Klagefrist mit Ablauf von drei Monaten nach dem Tag der Bekanntgabe der Allgemeinverfügung. 6Die Klage ist nur gegen die oberste Finanzbehörde zu richten, die die Allgemeinverfügung erlassen hat.</w:t>
      </w:r>
    </w:p>
    <w:p>
      <w:r>
        <w:rPr>
          <w:color w:val="555555"/>
          <w:sz w:val="17"/>
        </w:rPr>
        <w:t xml:space="preserve">Zitiervorschlag: § 118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