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116 EStG — Anrechnung auf die Einkommensteuer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28.05.2022 (konsolidierte Textfassung, kein amtliches Inkrafttretensdatum)</w:t>
      </w:r>
    </w:p>
    <w:p>
      <w:r>
        <w:t xml:space="preserve">(1) 1Eine nach § 115 Absatz 1 festgesetzte Energiepreispauschale ist auf die festgesetzte Einkommensteuer anzurechnen. 2Die festgesetzte Energiepreispauschale ist bei der Ermittlung des Unterschiedsbetrages nach § 233a Absatz 3 Satz 1 der Abgabenordnung entsprechend zu berücksichtigen.</w:t>
      </w:r>
    </w:p>
    <w:p>
      <w:r>
        <w:t xml:space="preserve">(2) Ergibt sich nach der Anrechnung nach Absatz 1 ein Erstattungsbetrag, so wird dieser dem Anspruchsberechtigten ausgezahlt.</w:t>
      </w:r>
    </w:p>
    <w:p>
      <w:r>
        <w:rPr>
          <w:color w:val="555555"/>
          <w:sz w:val="17"/>
        </w:rPr>
        <w:t xml:space="preserve">Zitiervorschlag: § 116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https://recht.nulegal.eu/gesetze/EStG/116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