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EStG — Festsetzung mit der Einkommensteuerveranlagung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Die Energiepreispauschale wird mit der Einkommensteuerveranlagung für den Veranlagungszeitraum 2022 festgesetzt.</w:t>
      </w:r>
    </w:p>
    <w:p>
      <w:r>
        <w:t xml:space="preserve">(2) Absatz 1 gilt nicht, wenn die Energiepreispauschale nach § 117 vom Arbeitgeber ausgezahlt wurde.</w:t>
      </w:r>
    </w:p>
    <w:p>
      <w:r>
        <w:rPr>
          <w:color w:val="555555"/>
          <w:sz w:val="17"/>
        </w:rPr>
        <w:t xml:space="preserve">Zitiervorschlag: § 115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