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EStG — Veranlagungszeitraum, Höhe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Für den Veranlagungszeitraum 2022 wird Anspruchsberechtigten eine einmalige steuerpflichtige Energiepreispauschale gewährt.</w:t>
      </w:r>
    </w:p>
    <w:p>
      <w:r>
        <w:t xml:space="preserve">(2) Die Höhe der Energiepreispauschale beträgt 300 Euro.</w:t>
      </w:r>
    </w:p>
    <w:p>
      <w:r>
        <w:rPr>
          <w:color w:val="555555"/>
          <w:sz w:val="17"/>
        </w:rPr>
        <w:t xml:space="preserve">Zitiervorschlag: § 112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